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369" w:rsidRDefault="008A6369">
      <w:pPr>
        <w:jc w:val="both"/>
        <w:rPr>
          <w:rFonts w:ascii="Times New Roman" w:hAnsi="Times New Roman" w:cs="Times New Roman"/>
          <w:b/>
        </w:rPr>
      </w:pPr>
    </w:p>
    <w:p w:rsidR="009302A8" w:rsidRPr="0018215E" w:rsidRDefault="0083656E">
      <w:pPr>
        <w:jc w:val="both"/>
        <w:rPr>
          <w:rFonts w:ascii="Times New Roman" w:hAnsi="Times New Roman" w:cs="Times New Roman"/>
          <w:b/>
        </w:rPr>
      </w:pPr>
      <w:r w:rsidRPr="0018215E">
        <w:rPr>
          <w:rFonts w:ascii="Times New Roman" w:hAnsi="Times New Roman" w:cs="Times New Roman"/>
          <w:b/>
        </w:rPr>
        <w:t>PREFEITURA MUNICIPAL DE SÃO JORGE D’OESTE/PR</w:t>
      </w:r>
    </w:p>
    <w:p w:rsidR="000E6380" w:rsidRDefault="008A636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ESTUDO TÉCNICO PRELIMINAR - ETP Nº </w:t>
      </w:r>
      <w:r w:rsidR="00713311">
        <w:rPr>
          <w:rFonts w:ascii="Times New Roman" w:hAnsi="Times New Roman" w:cs="Times New Roman"/>
          <w:b/>
        </w:rPr>
        <w:t>1</w:t>
      </w:r>
      <w:r w:rsidR="00447B50">
        <w:rPr>
          <w:rFonts w:ascii="Times New Roman" w:hAnsi="Times New Roman" w:cs="Times New Roman"/>
          <w:b/>
        </w:rPr>
        <w:t>22</w:t>
      </w:r>
      <w:r>
        <w:rPr>
          <w:rFonts w:ascii="Times New Roman" w:hAnsi="Times New Roman" w:cs="Times New Roman"/>
          <w:b/>
        </w:rPr>
        <w:t>/2025</w:t>
      </w:r>
    </w:p>
    <w:p w:rsidR="008A6369" w:rsidRDefault="008A6369">
      <w:pPr>
        <w:jc w:val="both"/>
        <w:rPr>
          <w:rFonts w:ascii="Times New Roman" w:hAnsi="Times New Roman" w:cs="Times New Roman"/>
          <w:b/>
        </w:rPr>
      </w:pPr>
    </w:p>
    <w:p w:rsidR="000E6380" w:rsidRDefault="000E6380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INTRODUÇÃO</w:t>
      </w:r>
    </w:p>
    <w:p w:rsidR="00B10D83" w:rsidRPr="0018215E" w:rsidRDefault="000E6380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Conceito e elementos.</w:t>
      </w:r>
    </w:p>
    <w:p w:rsidR="00234CE9" w:rsidRPr="0018215E" w:rsidRDefault="00234CE9" w:rsidP="00234CE9">
      <w:pPr>
        <w:jc w:val="both"/>
        <w:rPr>
          <w:rFonts w:ascii="Times New Roman" w:hAnsi="Times New Roman" w:cs="Times New Roman"/>
        </w:rPr>
      </w:pPr>
      <w:r w:rsidRPr="0018215E">
        <w:rPr>
          <w:rFonts w:ascii="Times New Roman" w:hAnsi="Times New Roman" w:cs="Times New Roman"/>
        </w:rPr>
        <w:t>O Estudo Técnico Preliminar</w:t>
      </w:r>
      <w:r w:rsidR="00EC3E1F" w:rsidRPr="0018215E">
        <w:rPr>
          <w:rFonts w:ascii="Times New Roman" w:hAnsi="Times New Roman" w:cs="Times New Roman"/>
        </w:rPr>
        <w:t xml:space="preserve"> </w:t>
      </w:r>
      <w:r w:rsidRPr="0018215E">
        <w:rPr>
          <w:rFonts w:ascii="Times New Roman" w:hAnsi="Times New Roman" w:cs="Times New Roman"/>
        </w:rPr>
        <w:t>(ETP), é o documento constitutivo da primeira etapa do planejamento de uma contratação a fim de atender a uma necessidade administrativa, e tem por objetivo subsidiar a elaboração do Anteprojeto, Termo de Referência ou Projeto Básico, bem como do edital de licitação e da minuta contratual, quando aplicável.</w:t>
      </w:r>
    </w:p>
    <w:p w:rsidR="0083656E" w:rsidRPr="0018215E" w:rsidRDefault="00234CE9">
      <w:pPr>
        <w:jc w:val="both"/>
        <w:rPr>
          <w:rFonts w:ascii="Times New Roman" w:hAnsi="Times New Roman" w:cs="Times New Roman"/>
        </w:rPr>
      </w:pPr>
      <w:r w:rsidRPr="0018215E">
        <w:rPr>
          <w:rFonts w:ascii="Times New Roman" w:hAnsi="Times New Roman" w:cs="Times New Roman"/>
        </w:rPr>
        <w:t>Sua elaboração será e</w:t>
      </w:r>
      <w:r w:rsidR="0083656E" w:rsidRPr="0018215E">
        <w:rPr>
          <w:rFonts w:ascii="Times New Roman" w:hAnsi="Times New Roman" w:cs="Times New Roman"/>
        </w:rPr>
        <w:t>m conformidade com o Art. 18 da Lei Federal nº 14.133 de abril de 2021, regulamentado a nível Municipal pelos Art</w:t>
      </w:r>
      <w:r w:rsidR="0083656E" w:rsidRPr="001D6CD9">
        <w:rPr>
          <w:rFonts w:ascii="Times New Roman" w:hAnsi="Times New Roman" w:cs="Times New Roman"/>
          <w:sz w:val="16"/>
          <w:szCs w:val="16"/>
        </w:rPr>
        <w:t>s</w:t>
      </w:r>
      <w:r w:rsidR="0083656E" w:rsidRPr="0018215E">
        <w:rPr>
          <w:rFonts w:ascii="Times New Roman" w:hAnsi="Times New Roman" w:cs="Times New Roman"/>
        </w:rPr>
        <w:t>. 56, 57, 58, 59, 60, 61, 62, 63 e 64 do Decreto Municipal n° 3.927/2023, nos seguintes termos:</w:t>
      </w:r>
    </w:p>
    <w:p w:rsidR="00234CE9" w:rsidRPr="0018215E" w:rsidRDefault="00234CE9">
      <w:pPr>
        <w:jc w:val="both"/>
        <w:rPr>
          <w:rFonts w:ascii="Times New Roman" w:hAnsi="Times New Roman" w:cs="Times New Roman"/>
        </w:rPr>
      </w:pPr>
      <w:r w:rsidRPr="0018215E">
        <w:rPr>
          <w:rFonts w:ascii="Times New Roman" w:hAnsi="Times New Roman" w:cs="Times New Roman"/>
          <w:i/>
        </w:rPr>
        <w:t>“O Estudo Técnico Preliminar (ETP) deverá evidenciar o problema a ser resolvido e a melhor solução, de modo a permitir a avaliação da viabilidade técnica, socioeconômica e ambiental da contratação”</w:t>
      </w:r>
      <w:r w:rsidRPr="0018215E">
        <w:rPr>
          <w:rFonts w:ascii="Times New Roman" w:hAnsi="Times New Roman" w:cs="Times New Roman"/>
        </w:rPr>
        <w:t xml:space="preserve"> (</w:t>
      </w:r>
      <w:r w:rsidRPr="0018215E">
        <w:rPr>
          <w:rFonts w:ascii="Times New Roman" w:hAnsi="Times New Roman" w:cs="Times New Roman"/>
          <w:b/>
        </w:rPr>
        <w:t>caput</w:t>
      </w:r>
      <w:r w:rsidRPr="0018215E">
        <w:rPr>
          <w:rFonts w:ascii="Times New Roman" w:hAnsi="Times New Roman" w:cs="Times New Roman"/>
        </w:rPr>
        <w:t xml:space="preserve"> do Art. 56 do Decreto nº 3.927/2023).</w:t>
      </w:r>
    </w:p>
    <w:p w:rsidR="00234CE9" w:rsidRPr="0018215E" w:rsidRDefault="00234CE9" w:rsidP="00234CE9">
      <w:pPr>
        <w:jc w:val="both"/>
        <w:rPr>
          <w:rFonts w:ascii="Times New Roman" w:hAnsi="Times New Roman" w:cs="Times New Roman"/>
        </w:rPr>
      </w:pPr>
      <w:r w:rsidRPr="0018215E">
        <w:rPr>
          <w:rFonts w:ascii="Times New Roman" w:hAnsi="Times New Roman" w:cs="Times New Roman"/>
          <w:i/>
        </w:rPr>
        <w:t>“O Estudo Técnico Preliminar (ETP) deverá estar alinhado com o Plano de Contratação Anual, além de outros instrumentos de planejamento da Administração”</w:t>
      </w:r>
      <w:r w:rsidRPr="0018215E">
        <w:rPr>
          <w:rFonts w:ascii="Times New Roman" w:hAnsi="Times New Roman" w:cs="Times New Roman"/>
        </w:rPr>
        <w:t xml:space="preserve"> (</w:t>
      </w:r>
      <w:r w:rsidRPr="0018215E">
        <w:rPr>
          <w:rFonts w:ascii="Times New Roman" w:hAnsi="Times New Roman" w:cs="Times New Roman"/>
          <w:b/>
        </w:rPr>
        <w:t>caput</w:t>
      </w:r>
      <w:r w:rsidRPr="0018215E">
        <w:rPr>
          <w:rFonts w:ascii="Times New Roman" w:hAnsi="Times New Roman" w:cs="Times New Roman"/>
        </w:rPr>
        <w:t xml:space="preserve"> do Art. 57 do Decreto nº 3.927/2023).</w:t>
      </w:r>
    </w:p>
    <w:p w:rsidR="00947523" w:rsidRPr="0018215E" w:rsidRDefault="00947523" w:rsidP="00947523">
      <w:pPr>
        <w:jc w:val="both"/>
        <w:rPr>
          <w:rFonts w:ascii="Times New Roman" w:hAnsi="Times New Roman" w:cs="Times New Roman"/>
        </w:rPr>
      </w:pPr>
      <w:r w:rsidRPr="0018215E">
        <w:rPr>
          <w:rFonts w:ascii="Times New Roman" w:hAnsi="Times New Roman" w:cs="Times New Roman"/>
          <w:i/>
        </w:rPr>
        <w:t>“O Estudo Técnico Preliminar (ETP) será elaborado conjuntamente por servidores da área técnica e requisitante ou, quando houver, pela equipe de planejamento da contratação, [...]”</w:t>
      </w:r>
      <w:r w:rsidRPr="0018215E">
        <w:rPr>
          <w:rFonts w:ascii="Times New Roman" w:hAnsi="Times New Roman" w:cs="Times New Roman"/>
        </w:rPr>
        <w:t xml:space="preserve"> (</w:t>
      </w:r>
      <w:r w:rsidRPr="0018215E">
        <w:rPr>
          <w:rFonts w:ascii="Times New Roman" w:hAnsi="Times New Roman" w:cs="Times New Roman"/>
          <w:b/>
        </w:rPr>
        <w:t>caput</w:t>
      </w:r>
      <w:r w:rsidRPr="0018215E">
        <w:rPr>
          <w:rFonts w:ascii="Times New Roman" w:hAnsi="Times New Roman" w:cs="Times New Roman"/>
        </w:rPr>
        <w:t xml:space="preserve"> do Art. 58 do Decreto nº 3.927/2023).</w:t>
      </w:r>
    </w:p>
    <w:p w:rsidR="009A2AE5" w:rsidRPr="0018215E" w:rsidRDefault="00947523" w:rsidP="00947523">
      <w:pPr>
        <w:jc w:val="both"/>
        <w:rPr>
          <w:rFonts w:ascii="Times New Roman" w:hAnsi="Times New Roman" w:cs="Times New Roman"/>
        </w:rPr>
      </w:pPr>
      <w:r w:rsidRPr="0018215E">
        <w:rPr>
          <w:rFonts w:ascii="Times New Roman" w:hAnsi="Times New Roman" w:cs="Times New Roman"/>
          <w:i/>
        </w:rPr>
        <w:t>“</w:t>
      </w:r>
      <w:r w:rsidR="009A2AE5" w:rsidRPr="0018215E">
        <w:rPr>
          <w:rFonts w:ascii="Times New Roman" w:hAnsi="Times New Roman" w:cs="Times New Roman"/>
          <w:i/>
        </w:rPr>
        <w:t>Com base no Plano de Contratações Anual, deverão ser registrados no ETP os seguintes elementos</w:t>
      </w:r>
      <w:r w:rsidR="00C3510D" w:rsidRPr="0018215E">
        <w:rPr>
          <w:rFonts w:ascii="Times New Roman" w:hAnsi="Times New Roman" w:cs="Times New Roman"/>
          <w:i/>
        </w:rPr>
        <w:t xml:space="preserve">:” </w:t>
      </w:r>
      <w:r w:rsidR="00C3510D" w:rsidRPr="0018215E">
        <w:rPr>
          <w:rFonts w:ascii="Times New Roman" w:hAnsi="Times New Roman" w:cs="Times New Roman"/>
        </w:rPr>
        <w:t>(</w:t>
      </w:r>
      <w:r w:rsidR="00C3510D" w:rsidRPr="0018215E">
        <w:rPr>
          <w:rFonts w:ascii="Times New Roman" w:hAnsi="Times New Roman" w:cs="Times New Roman"/>
          <w:b/>
        </w:rPr>
        <w:t>caput</w:t>
      </w:r>
      <w:r w:rsidR="00C3510D" w:rsidRPr="0018215E">
        <w:rPr>
          <w:rFonts w:ascii="Times New Roman" w:hAnsi="Times New Roman" w:cs="Times New Roman"/>
        </w:rPr>
        <w:t xml:space="preserve"> do Art. 5</w:t>
      </w:r>
      <w:r w:rsidR="00246D98" w:rsidRPr="0018215E">
        <w:rPr>
          <w:rFonts w:ascii="Times New Roman" w:hAnsi="Times New Roman" w:cs="Times New Roman"/>
        </w:rPr>
        <w:t>9</w:t>
      </w:r>
      <w:r w:rsidR="00C3510D" w:rsidRPr="0018215E">
        <w:rPr>
          <w:rFonts w:ascii="Times New Roman" w:hAnsi="Times New Roman" w:cs="Times New Roman"/>
        </w:rPr>
        <w:t xml:space="preserve"> do Decreto nº 3.927/2023).</w:t>
      </w:r>
    </w:p>
    <w:p w:rsidR="009A2AE5" w:rsidRPr="0018215E" w:rsidRDefault="00C3510D" w:rsidP="00947523">
      <w:pPr>
        <w:jc w:val="both"/>
        <w:rPr>
          <w:rFonts w:ascii="Times New Roman" w:hAnsi="Times New Roman" w:cs="Times New Roman"/>
          <w:i/>
        </w:rPr>
      </w:pPr>
      <w:r w:rsidRPr="0018215E">
        <w:rPr>
          <w:rFonts w:ascii="Times New Roman" w:hAnsi="Times New Roman" w:cs="Times New Roman"/>
          <w:i/>
        </w:rPr>
        <w:t>“</w:t>
      </w:r>
      <w:r w:rsidR="009A2AE5" w:rsidRPr="0018215E">
        <w:rPr>
          <w:rFonts w:ascii="Times New Roman" w:hAnsi="Times New Roman" w:cs="Times New Roman"/>
          <w:i/>
        </w:rPr>
        <w:t xml:space="preserve">I -  </w:t>
      </w:r>
      <w:r w:rsidR="009A2AE5" w:rsidRPr="0018215E">
        <w:rPr>
          <w:rFonts w:ascii="Times New Roman" w:hAnsi="Times New Roman" w:cs="Times New Roman"/>
          <w:b/>
          <w:i/>
        </w:rPr>
        <w:t>descrição da necessidade da contratação</w:t>
      </w:r>
      <w:r w:rsidR="009A2AE5" w:rsidRPr="0018215E">
        <w:rPr>
          <w:rFonts w:ascii="Times New Roman" w:hAnsi="Times New Roman" w:cs="Times New Roman"/>
          <w:i/>
        </w:rPr>
        <w:t xml:space="preserve"> [..</w:t>
      </w:r>
      <w:r w:rsidRPr="0018215E">
        <w:rPr>
          <w:rFonts w:ascii="Times New Roman" w:hAnsi="Times New Roman" w:cs="Times New Roman"/>
          <w:i/>
        </w:rPr>
        <w:t>]”</w:t>
      </w:r>
      <w:r w:rsidR="00246D98" w:rsidRPr="0018215E">
        <w:rPr>
          <w:rFonts w:ascii="Times New Roman" w:hAnsi="Times New Roman" w:cs="Times New Roman"/>
          <w:i/>
        </w:rPr>
        <w:t xml:space="preserve"> </w:t>
      </w:r>
      <w:r w:rsidR="00246D98" w:rsidRPr="0018215E">
        <w:rPr>
          <w:rFonts w:ascii="Times New Roman" w:hAnsi="Times New Roman" w:cs="Times New Roman"/>
        </w:rPr>
        <w:t>(</w:t>
      </w:r>
      <w:r w:rsidRPr="0018215E">
        <w:rPr>
          <w:rFonts w:ascii="Times New Roman" w:hAnsi="Times New Roman" w:cs="Times New Roman"/>
        </w:rPr>
        <w:t>inciso I do Art. 59 do Decreto nº 3.927/2023</w:t>
      </w:r>
      <w:r w:rsidR="00804995" w:rsidRPr="0018215E">
        <w:rPr>
          <w:rFonts w:ascii="Times New Roman" w:hAnsi="Times New Roman" w:cs="Times New Roman"/>
        </w:rPr>
        <w:t>, e inciso I do §1º do Art. 18 da Lei nº 14.133/2021</w:t>
      </w:r>
      <w:r w:rsidRPr="0018215E">
        <w:rPr>
          <w:rFonts w:ascii="Times New Roman" w:hAnsi="Times New Roman" w:cs="Times New Roman"/>
        </w:rPr>
        <w:t xml:space="preserve">) </w:t>
      </w:r>
      <w:r w:rsidRPr="0018215E">
        <w:rPr>
          <w:rFonts w:ascii="Times New Roman" w:hAnsi="Times New Roman" w:cs="Times New Roman"/>
          <w:b/>
        </w:rPr>
        <w:t>seção 1</w:t>
      </w:r>
      <w:r w:rsidRPr="0018215E">
        <w:rPr>
          <w:rFonts w:ascii="Times New Roman" w:hAnsi="Times New Roman" w:cs="Times New Roman"/>
        </w:rPr>
        <w:t xml:space="preserve"> deste documento</w:t>
      </w:r>
      <w:r w:rsidR="009A2AE5" w:rsidRPr="0018215E">
        <w:rPr>
          <w:rFonts w:ascii="Times New Roman" w:hAnsi="Times New Roman" w:cs="Times New Roman"/>
          <w:i/>
        </w:rPr>
        <w:t>;</w:t>
      </w:r>
    </w:p>
    <w:p w:rsidR="00974B93" w:rsidRPr="0018215E" w:rsidRDefault="00974B93" w:rsidP="00974B93">
      <w:pPr>
        <w:jc w:val="both"/>
        <w:rPr>
          <w:rFonts w:ascii="Times New Roman" w:hAnsi="Times New Roman" w:cs="Times New Roman"/>
          <w:i/>
        </w:rPr>
      </w:pPr>
      <w:r w:rsidRPr="0018215E">
        <w:rPr>
          <w:rFonts w:ascii="Times New Roman" w:hAnsi="Times New Roman" w:cs="Times New Roman"/>
          <w:i/>
        </w:rPr>
        <w:t xml:space="preserve">“IX – </w:t>
      </w:r>
      <w:r w:rsidRPr="0018215E">
        <w:rPr>
          <w:rFonts w:ascii="Times New Roman" w:hAnsi="Times New Roman" w:cs="Times New Roman"/>
          <w:b/>
          <w:i/>
        </w:rPr>
        <w:t>demonstrativo da previsão da contratação no Plano de Contratações Anual</w:t>
      </w:r>
      <w:r w:rsidRPr="0018215E">
        <w:rPr>
          <w:rFonts w:ascii="Times New Roman" w:hAnsi="Times New Roman" w:cs="Times New Roman"/>
          <w:i/>
        </w:rPr>
        <w:t xml:space="preserve">, [...]” </w:t>
      </w:r>
      <w:r w:rsidRPr="0018215E">
        <w:rPr>
          <w:rFonts w:ascii="Times New Roman" w:hAnsi="Times New Roman" w:cs="Times New Roman"/>
        </w:rPr>
        <w:t xml:space="preserve">(inciso IX do Art. 59 do Decreto nº 3.927/2023 e inciso II do §1º do Art. 18 da Lei nº 14.133/2021) </w:t>
      </w:r>
      <w:r w:rsidRPr="0018215E">
        <w:rPr>
          <w:rFonts w:ascii="Times New Roman" w:hAnsi="Times New Roman" w:cs="Times New Roman"/>
          <w:b/>
        </w:rPr>
        <w:t>seção 2</w:t>
      </w:r>
      <w:r w:rsidRPr="0018215E">
        <w:rPr>
          <w:rFonts w:ascii="Times New Roman" w:hAnsi="Times New Roman" w:cs="Times New Roman"/>
        </w:rPr>
        <w:t xml:space="preserve"> deste documento</w:t>
      </w:r>
      <w:r w:rsidRPr="0018215E">
        <w:rPr>
          <w:rFonts w:ascii="Times New Roman" w:hAnsi="Times New Roman" w:cs="Times New Roman"/>
          <w:i/>
        </w:rPr>
        <w:t>;</w:t>
      </w:r>
    </w:p>
    <w:p w:rsidR="009A2AE5" w:rsidRPr="0018215E" w:rsidRDefault="00C3510D" w:rsidP="00947523">
      <w:pPr>
        <w:jc w:val="both"/>
        <w:rPr>
          <w:rFonts w:ascii="Times New Roman" w:hAnsi="Times New Roman" w:cs="Times New Roman"/>
          <w:i/>
        </w:rPr>
      </w:pPr>
      <w:r w:rsidRPr="0018215E">
        <w:rPr>
          <w:rFonts w:ascii="Times New Roman" w:hAnsi="Times New Roman" w:cs="Times New Roman"/>
          <w:i/>
        </w:rPr>
        <w:t>“</w:t>
      </w:r>
      <w:r w:rsidR="009A2AE5" w:rsidRPr="0018215E">
        <w:rPr>
          <w:rFonts w:ascii="Times New Roman" w:hAnsi="Times New Roman" w:cs="Times New Roman"/>
          <w:i/>
        </w:rPr>
        <w:t xml:space="preserve">II – </w:t>
      </w:r>
      <w:r w:rsidR="009A2AE5" w:rsidRPr="0018215E">
        <w:rPr>
          <w:rFonts w:ascii="Times New Roman" w:hAnsi="Times New Roman" w:cs="Times New Roman"/>
          <w:b/>
          <w:i/>
        </w:rPr>
        <w:t>descrição dos requisitos da contrataç</w:t>
      </w:r>
      <w:r w:rsidRPr="0018215E">
        <w:rPr>
          <w:rFonts w:ascii="Times New Roman" w:hAnsi="Times New Roman" w:cs="Times New Roman"/>
          <w:b/>
          <w:i/>
        </w:rPr>
        <w:t>ã</w:t>
      </w:r>
      <w:r w:rsidR="009A2AE5" w:rsidRPr="0018215E">
        <w:rPr>
          <w:rFonts w:ascii="Times New Roman" w:hAnsi="Times New Roman" w:cs="Times New Roman"/>
          <w:b/>
          <w:i/>
        </w:rPr>
        <w:t>o</w:t>
      </w:r>
      <w:r w:rsidR="009A2AE5" w:rsidRPr="0018215E">
        <w:rPr>
          <w:rFonts w:ascii="Times New Roman" w:hAnsi="Times New Roman" w:cs="Times New Roman"/>
          <w:i/>
        </w:rPr>
        <w:t xml:space="preserve"> necessários e suficientes à escolha da solução, [</w:t>
      </w:r>
      <w:r w:rsidRPr="0018215E">
        <w:rPr>
          <w:rFonts w:ascii="Times New Roman" w:hAnsi="Times New Roman" w:cs="Times New Roman"/>
          <w:i/>
        </w:rPr>
        <w:t>.</w:t>
      </w:r>
      <w:r w:rsidR="009A2AE5" w:rsidRPr="0018215E">
        <w:rPr>
          <w:rFonts w:ascii="Times New Roman" w:hAnsi="Times New Roman" w:cs="Times New Roman"/>
          <w:i/>
        </w:rPr>
        <w:t>.</w:t>
      </w:r>
      <w:r w:rsidRPr="0018215E">
        <w:rPr>
          <w:rFonts w:ascii="Times New Roman" w:hAnsi="Times New Roman" w:cs="Times New Roman"/>
          <w:i/>
        </w:rPr>
        <w:t xml:space="preserve">.]” </w:t>
      </w:r>
      <w:r w:rsidR="00246D98" w:rsidRPr="0018215E">
        <w:rPr>
          <w:rFonts w:ascii="Times New Roman" w:hAnsi="Times New Roman" w:cs="Times New Roman"/>
        </w:rPr>
        <w:t>(i</w:t>
      </w:r>
      <w:r w:rsidRPr="0018215E">
        <w:rPr>
          <w:rFonts w:ascii="Times New Roman" w:hAnsi="Times New Roman" w:cs="Times New Roman"/>
        </w:rPr>
        <w:t>nciso II do Art. 59 do Decreto nº 3.927/2023</w:t>
      </w:r>
      <w:r w:rsidR="00804995" w:rsidRPr="0018215E">
        <w:rPr>
          <w:rFonts w:ascii="Times New Roman" w:hAnsi="Times New Roman" w:cs="Times New Roman"/>
        </w:rPr>
        <w:t xml:space="preserve">, e inciso </w:t>
      </w:r>
      <w:r w:rsidR="007E5440" w:rsidRPr="0018215E">
        <w:rPr>
          <w:rFonts w:ascii="Times New Roman" w:hAnsi="Times New Roman" w:cs="Times New Roman"/>
        </w:rPr>
        <w:t>II</w:t>
      </w:r>
      <w:r w:rsidR="00804995" w:rsidRPr="0018215E">
        <w:rPr>
          <w:rFonts w:ascii="Times New Roman" w:hAnsi="Times New Roman" w:cs="Times New Roman"/>
        </w:rPr>
        <w:t>I do §1º do Art. 18 da Lei nº 14.133/2021</w:t>
      </w:r>
      <w:r w:rsidRPr="0018215E">
        <w:rPr>
          <w:rFonts w:ascii="Times New Roman" w:hAnsi="Times New Roman" w:cs="Times New Roman"/>
        </w:rPr>
        <w:t xml:space="preserve">) </w:t>
      </w:r>
      <w:r w:rsidRPr="0018215E">
        <w:rPr>
          <w:rFonts w:ascii="Times New Roman" w:hAnsi="Times New Roman" w:cs="Times New Roman"/>
          <w:b/>
        </w:rPr>
        <w:t xml:space="preserve">seção </w:t>
      </w:r>
      <w:r w:rsidR="00974B93" w:rsidRPr="0018215E">
        <w:rPr>
          <w:rFonts w:ascii="Times New Roman" w:hAnsi="Times New Roman" w:cs="Times New Roman"/>
          <w:b/>
        </w:rPr>
        <w:t>3</w:t>
      </w:r>
      <w:r w:rsidRPr="0018215E">
        <w:rPr>
          <w:rFonts w:ascii="Times New Roman" w:hAnsi="Times New Roman" w:cs="Times New Roman"/>
        </w:rPr>
        <w:t xml:space="preserve"> deste documento</w:t>
      </w:r>
      <w:r w:rsidRPr="0018215E">
        <w:rPr>
          <w:rFonts w:ascii="Times New Roman" w:hAnsi="Times New Roman" w:cs="Times New Roman"/>
          <w:i/>
        </w:rPr>
        <w:t>;</w:t>
      </w:r>
    </w:p>
    <w:p w:rsidR="00974B93" w:rsidRPr="0018215E" w:rsidRDefault="00974B93" w:rsidP="00974B93">
      <w:pPr>
        <w:jc w:val="both"/>
        <w:rPr>
          <w:rFonts w:ascii="Times New Roman" w:hAnsi="Times New Roman" w:cs="Times New Roman"/>
          <w:i/>
        </w:rPr>
      </w:pPr>
      <w:r w:rsidRPr="0018215E">
        <w:rPr>
          <w:rFonts w:ascii="Times New Roman" w:hAnsi="Times New Roman" w:cs="Times New Roman"/>
          <w:i/>
        </w:rPr>
        <w:t xml:space="preserve">“V – </w:t>
      </w:r>
      <w:r w:rsidRPr="0018215E">
        <w:rPr>
          <w:rFonts w:ascii="Times New Roman" w:hAnsi="Times New Roman" w:cs="Times New Roman"/>
          <w:b/>
          <w:i/>
        </w:rPr>
        <w:t>estimativa das quantidades a serem contratadas</w:t>
      </w:r>
      <w:r w:rsidRPr="0018215E">
        <w:rPr>
          <w:rFonts w:ascii="Times New Roman" w:hAnsi="Times New Roman" w:cs="Times New Roman"/>
          <w:i/>
        </w:rPr>
        <w:t xml:space="preserve">, [...]” </w:t>
      </w:r>
      <w:r w:rsidRPr="0018215E">
        <w:rPr>
          <w:rFonts w:ascii="Times New Roman" w:hAnsi="Times New Roman" w:cs="Times New Roman"/>
        </w:rPr>
        <w:t xml:space="preserve">(inciso V do Art. 59 do Decreto nº 3.927/2023 e inciso IV do §1º do Art. 18 da Lei nº 14.133/2021) </w:t>
      </w:r>
      <w:r w:rsidRPr="0018215E">
        <w:rPr>
          <w:rFonts w:ascii="Times New Roman" w:hAnsi="Times New Roman" w:cs="Times New Roman"/>
          <w:b/>
        </w:rPr>
        <w:t>seção 4</w:t>
      </w:r>
      <w:r w:rsidRPr="0018215E">
        <w:rPr>
          <w:rFonts w:ascii="Times New Roman" w:hAnsi="Times New Roman" w:cs="Times New Roman"/>
        </w:rPr>
        <w:t xml:space="preserve"> deste documento</w:t>
      </w:r>
      <w:r w:rsidRPr="0018215E">
        <w:rPr>
          <w:rFonts w:ascii="Times New Roman" w:hAnsi="Times New Roman" w:cs="Times New Roman"/>
          <w:i/>
        </w:rPr>
        <w:t>;</w:t>
      </w:r>
    </w:p>
    <w:p w:rsidR="000E6380" w:rsidRDefault="00C3510D" w:rsidP="00C3510D">
      <w:pPr>
        <w:jc w:val="both"/>
        <w:rPr>
          <w:rFonts w:ascii="Times New Roman" w:hAnsi="Times New Roman" w:cs="Times New Roman"/>
          <w:i/>
        </w:rPr>
      </w:pPr>
      <w:r w:rsidRPr="0018215E">
        <w:rPr>
          <w:rFonts w:ascii="Times New Roman" w:hAnsi="Times New Roman" w:cs="Times New Roman"/>
          <w:i/>
        </w:rPr>
        <w:t>“II</w:t>
      </w:r>
      <w:r w:rsidR="00C84FEF" w:rsidRPr="0018215E">
        <w:rPr>
          <w:rFonts w:ascii="Times New Roman" w:hAnsi="Times New Roman" w:cs="Times New Roman"/>
          <w:i/>
        </w:rPr>
        <w:t>I</w:t>
      </w:r>
      <w:r w:rsidRPr="0018215E">
        <w:rPr>
          <w:rFonts w:ascii="Times New Roman" w:hAnsi="Times New Roman" w:cs="Times New Roman"/>
          <w:i/>
        </w:rPr>
        <w:t xml:space="preserve"> – </w:t>
      </w:r>
      <w:r w:rsidR="00C84FEF" w:rsidRPr="0018215E">
        <w:rPr>
          <w:rFonts w:ascii="Times New Roman" w:hAnsi="Times New Roman" w:cs="Times New Roman"/>
          <w:b/>
          <w:i/>
        </w:rPr>
        <w:t>levantamento de mercado</w:t>
      </w:r>
      <w:r w:rsidRPr="0018215E">
        <w:rPr>
          <w:rFonts w:ascii="Times New Roman" w:hAnsi="Times New Roman" w:cs="Times New Roman"/>
          <w:i/>
        </w:rPr>
        <w:t xml:space="preserve">, [...]” </w:t>
      </w:r>
      <w:r w:rsidR="009E09D7" w:rsidRPr="0018215E">
        <w:rPr>
          <w:rFonts w:ascii="Times New Roman" w:hAnsi="Times New Roman" w:cs="Times New Roman"/>
        </w:rPr>
        <w:t>(i</w:t>
      </w:r>
      <w:r w:rsidRPr="0018215E">
        <w:rPr>
          <w:rFonts w:ascii="Times New Roman" w:hAnsi="Times New Roman" w:cs="Times New Roman"/>
        </w:rPr>
        <w:t xml:space="preserve">nciso </w:t>
      </w:r>
      <w:r w:rsidR="00C84FEF" w:rsidRPr="0018215E">
        <w:rPr>
          <w:rFonts w:ascii="Times New Roman" w:hAnsi="Times New Roman" w:cs="Times New Roman"/>
        </w:rPr>
        <w:t>I</w:t>
      </w:r>
      <w:r w:rsidRPr="0018215E">
        <w:rPr>
          <w:rFonts w:ascii="Times New Roman" w:hAnsi="Times New Roman" w:cs="Times New Roman"/>
        </w:rPr>
        <w:t>II do Art. 59 do Decreto nº 3.927/2023</w:t>
      </w:r>
      <w:r w:rsidR="007E5440" w:rsidRPr="0018215E">
        <w:rPr>
          <w:rFonts w:ascii="Times New Roman" w:hAnsi="Times New Roman" w:cs="Times New Roman"/>
        </w:rPr>
        <w:t xml:space="preserve"> e inciso V do §1º do Art. 18 da Lei nº 14.133/2021</w:t>
      </w:r>
      <w:r w:rsidRPr="0018215E">
        <w:rPr>
          <w:rFonts w:ascii="Times New Roman" w:hAnsi="Times New Roman" w:cs="Times New Roman"/>
        </w:rPr>
        <w:t xml:space="preserve">) </w:t>
      </w:r>
      <w:r w:rsidRPr="0018215E">
        <w:rPr>
          <w:rFonts w:ascii="Times New Roman" w:hAnsi="Times New Roman" w:cs="Times New Roman"/>
          <w:b/>
        </w:rPr>
        <w:t xml:space="preserve">seção </w:t>
      </w:r>
      <w:r w:rsidR="00974B93" w:rsidRPr="0018215E">
        <w:rPr>
          <w:rFonts w:ascii="Times New Roman" w:hAnsi="Times New Roman" w:cs="Times New Roman"/>
          <w:b/>
        </w:rPr>
        <w:t>5</w:t>
      </w:r>
      <w:r w:rsidRPr="0018215E">
        <w:rPr>
          <w:rFonts w:ascii="Times New Roman" w:hAnsi="Times New Roman" w:cs="Times New Roman"/>
        </w:rPr>
        <w:t xml:space="preserve"> deste documento</w:t>
      </w:r>
      <w:r w:rsidRPr="0018215E">
        <w:rPr>
          <w:rFonts w:ascii="Times New Roman" w:hAnsi="Times New Roman" w:cs="Times New Roman"/>
          <w:i/>
        </w:rPr>
        <w:t>;</w:t>
      </w:r>
    </w:p>
    <w:p w:rsidR="00C3510D" w:rsidRPr="0018215E" w:rsidRDefault="00C3510D" w:rsidP="00C3510D">
      <w:pPr>
        <w:jc w:val="both"/>
        <w:rPr>
          <w:rFonts w:ascii="Times New Roman" w:hAnsi="Times New Roman" w:cs="Times New Roman"/>
          <w:i/>
        </w:rPr>
      </w:pPr>
      <w:r w:rsidRPr="0018215E">
        <w:rPr>
          <w:rFonts w:ascii="Times New Roman" w:hAnsi="Times New Roman" w:cs="Times New Roman"/>
          <w:i/>
        </w:rPr>
        <w:t>“</w:t>
      </w:r>
      <w:r w:rsidR="00C84FEF" w:rsidRPr="0018215E">
        <w:rPr>
          <w:rFonts w:ascii="Times New Roman" w:hAnsi="Times New Roman" w:cs="Times New Roman"/>
          <w:i/>
        </w:rPr>
        <w:t>V</w:t>
      </w:r>
      <w:r w:rsidRPr="0018215E">
        <w:rPr>
          <w:rFonts w:ascii="Times New Roman" w:hAnsi="Times New Roman" w:cs="Times New Roman"/>
          <w:i/>
        </w:rPr>
        <w:t xml:space="preserve">I – </w:t>
      </w:r>
      <w:r w:rsidR="00C84FEF" w:rsidRPr="0018215E">
        <w:rPr>
          <w:rFonts w:ascii="Times New Roman" w:hAnsi="Times New Roman" w:cs="Times New Roman"/>
          <w:b/>
          <w:i/>
        </w:rPr>
        <w:t>estimativa do valor da contratação</w:t>
      </w:r>
      <w:r w:rsidRPr="0018215E">
        <w:rPr>
          <w:rFonts w:ascii="Times New Roman" w:hAnsi="Times New Roman" w:cs="Times New Roman"/>
          <w:i/>
        </w:rPr>
        <w:t xml:space="preserve">, [...]” </w:t>
      </w:r>
      <w:r w:rsidR="009E09D7" w:rsidRPr="0018215E">
        <w:rPr>
          <w:rFonts w:ascii="Times New Roman" w:hAnsi="Times New Roman" w:cs="Times New Roman"/>
        </w:rPr>
        <w:t>(i</w:t>
      </w:r>
      <w:r w:rsidRPr="0018215E">
        <w:rPr>
          <w:rFonts w:ascii="Times New Roman" w:hAnsi="Times New Roman" w:cs="Times New Roman"/>
        </w:rPr>
        <w:t xml:space="preserve">nciso </w:t>
      </w:r>
      <w:r w:rsidR="00C84FEF" w:rsidRPr="0018215E">
        <w:rPr>
          <w:rFonts w:ascii="Times New Roman" w:hAnsi="Times New Roman" w:cs="Times New Roman"/>
        </w:rPr>
        <w:t>V</w:t>
      </w:r>
      <w:r w:rsidRPr="0018215E">
        <w:rPr>
          <w:rFonts w:ascii="Times New Roman" w:hAnsi="Times New Roman" w:cs="Times New Roman"/>
        </w:rPr>
        <w:t>I do Art. 59 do Decreto nº 3.927/2023</w:t>
      </w:r>
      <w:r w:rsidR="007E5440" w:rsidRPr="0018215E">
        <w:rPr>
          <w:rFonts w:ascii="Times New Roman" w:hAnsi="Times New Roman" w:cs="Times New Roman"/>
        </w:rPr>
        <w:t xml:space="preserve"> e inciso VI do §1º do Art. 18 da Lei nº 14.133/2021</w:t>
      </w:r>
      <w:r w:rsidRPr="0018215E">
        <w:rPr>
          <w:rFonts w:ascii="Times New Roman" w:hAnsi="Times New Roman" w:cs="Times New Roman"/>
        </w:rPr>
        <w:t xml:space="preserve">) </w:t>
      </w:r>
      <w:r w:rsidRPr="0018215E">
        <w:rPr>
          <w:rFonts w:ascii="Times New Roman" w:hAnsi="Times New Roman" w:cs="Times New Roman"/>
          <w:b/>
        </w:rPr>
        <w:t xml:space="preserve">seção </w:t>
      </w:r>
      <w:r w:rsidR="00C84FEF" w:rsidRPr="0018215E">
        <w:rPr>
          <w:rFonts w:ascii="Times New Roman" w:hAnsi="Times New Roman" w:cs="Times New Roman"/>
          <w:b/>
        </w:rPr>
        <w:t>6</w:t>
      </w:r>
      <w:r w:rsidRPr="0018215E">
        <w:rPr>
          <w:rFonts w:ascii="Times New Roman" w:hAnsi="Times New Roman" w:cs="Times New Roman"/>
        </w:rPr>
        <w:t xml:space="preserve"> deste documento</w:t>
      </w:r>
      <w:r w:rsidRPr="0018215E">
        <w:rPr>
          <w:rFonts w:ascii="Times New Roman" w:hAnsi="Times New Roman" w:cs="Times New Roman"/>
          <w:i/>
        </w:rPr>
        <w:t>;</w:t>
      </w:r>
    </w:p>
    <w:p w:rsidR="00974B93" w:rsidRPr="0018215E" w:rsidRDefault="00974B93" w:rsidP="00974B93">
      <w:pPr>
        <w:jc w:val="both"/>
        <w:rPr>
          <w:rFonts w:ascii="Times New Roman" w:hAnsi="Times New Roman" w:cs="Times New Roman"/>
          <w:i/>
        </w:rPr>
      </w:pPr>
      <w:r w:rsidRPr="0018215E">
        <w:rPr>
          <w:rFonts w:ascii="Times New Roman" w:hAnsi="Times New Roman" w:cs="Times New Roman"/>
          <w:i/>
        </w:rPr>
        <w:lastRenderedPageBreak/>
        <w:t xml:space="preserve">“IV – </w:t>
      </w:r>
      <w:r w:rsidRPr="0018215E">
        <w:rPr>
          <w:rFonts w:ascii="Times New Roman" w:hAnsi="Times New Roman" w:cs="Times New Roman"/>
          <w:b/>
          <w:i/>
        </w:rPr>
        <w:t>descrição da solução como um todo</w:t>
      </w:r>
      <w:r w:rsidRPr="0018215E">
        <w:rPr>
          <w:rFonts w:ascii="Times New Roman" w:hAnsi="Times New Roman" w:cs="Times New Roman"/>
          <w:i/>
        </w:rPr>
        <w:t xml:space="preserve">, [...]” </w:t>
      </w:r>
      <w:r w:rsidRPr="0018215E">
        <w:rPr>
          <w:rFonts w:ascii="Times New Roman" w:hAnsi="Times New Roman" w:cs="Times New Roman"/>
        </w:rPr>
        <w:t xml:space="preserve">(inciso IV do Art. 59 do Decreto nº 3.927/2023 e inciso VII do §1º do Art. 18 da Lei nº 14.133/2021) </w:t>
      </w:r>
      <w:r w:rsidRPr="0018215E">
        <w:rPr>
          <w:rFonts w:ascii="Times New Roman" w:hAnsi="Times New Roman" w:cs="Times New Roman"/>
          <w:b/>
        </w:rPr>
        <w:t>seção 7</w:t>
      </w:r>
      <w:r w:rsidRPr="0018215E">
        <w:rPr>
          <w:rFonts w:ascii="Times New Roman" w:hAnsi="Times New Roman" w:cs="Times New Roman"/>
        </w:rPr>
        <w:t xml:space="preserve"> deste documento</w:t>
      </w:r>
      <w:r w:rsidRPr="0018215E">
        <w:rPr>
          <w:rFonts w:ascii="Times New Roman" w:hAnsi="Times New Roman" w:cs="Times New Roman"/>
          <w:i/>
        </w:rPr>
        <w:t>;</w:t>
      </w:r>
    </w:p>
    <w:p w:rsidR="00C3510D" w:rsidRPr="0018215E" w:rsidRDefault="00C3510D" w:rsidP="00C3510D">
      <w:pPr>
        <w:jc w:val="both"/>
        <w:rPr>
          <w:rFonts w:ascii="Times New Roman" w:hAnsi="Times New Roman" w:cs="Times New Roman"/>
          <w:i/>
        </w:rPr>
      </w:pPr>
      <w:r w:rsidRPr="0018215E">
        <w:rPr>
          <w:rFonts w:ascii="Times New Roman" w:hAnsi="Times New Roman" w:cs="Times New Roman"/>
          <w:i/>
        </w:rPr>
        <w:t>“</w:t>
      </w:r>
      <w:r w:rsidR="00C84FEF" w:rsidRPr="0018215E">
        <w:rPr>
          <w:rFonts w:ascii="Times New Roman" w:hAnsi="Times New Roman" w:cs="Times New Roman"/>
          <w:i/>
        </w:rPr>
        <w:t>V</w:t>
      </w:r>
      <w:r w:rsidRPr="0018215E">
        <w:rPr>
          <w:rFonts w:ascii="Times New Roman" w:hAnsi="Times New Roman" w:cs="Times New Roman"/>
          <w:i/>
        </w:rPr>
        <w:t xml:space="preserve">II – </w:t>
      </w:r>
      <w:r w:rsidR="00C84FEF" w:rsidRPr="0018215E">
        <w:rPr>
          <w:rFonts w:ascii="Times New Roman" w:hAnsi="Times New Roman" w:cs="Times New Roman"/>
          <w:b/>
          <w:i/>
        </w:rPr>
        <w:t>justificativa para o parcelamento ou não da solução</w:t>
      </w:r>
      <w:r w:rsidR="00C84FEF" w:rsidRPr="0018215E">
        <w:rPr>
          <w:rFonts w:ascii="Times New Roman" w:hAnsi="Times New Roman" w:cs="Times New Roman"/>
          <w:i/>
        </w:rPr>
        <w:t>;</w:t>
      </w:r>
      <w:r w:rsidRPr="0018215E">
        <w:rPr>
          <w:rFonts w:ascii="Times New Roman" w:hAnsi="Times New Roman" w:cs="Times New Roman"/>
          <w:i/>
        </w:rPr>
        <w:t xml:space="preserve">” </w:t>
      </w:r>
      <w:r w:rsidR="00F442F2" w:rsidRPr="0018215E">
        <w:rPr>
          <w:rFonts w:ascii="Times New Roman" w:hAnsi="Times New Roman" w:cs="Times New Roman"/>
        </w:rPr>
        <w:t>(i</w:t>
      </w:r>
      <w:r w:rsidRPr="0018215E">
        <w:rPr>
          <w:rFonts w:ascii="Times New Roman" w:hAnsi="Times New Roman" w:cs="Times New Roman"/>
        </w:rPr>
        <w:t xml:space="preserve">nciso </w:t>
      </w:r>
      <w:r w:rsidR="00C84FEF" w:rsidRPr="0018215E">
        <w:rPr>
          <w:rFonts w:ascii="Times New Roman" w:hAnsi="Times New Roman" w:cs="Times New Roman"/>
        </w:rPr>
        <w:t>V</w:t>
      </w:r>
      <w:r w:rsidRPr="0018215E">
        <w:rPr>
          <w:rFonts w:ascii="Times New Roman" w:hAnsi="Times New Roman" w:cs="Times New Roman"/>
        </w:rPr>
        <w:t>II do Art. 59 do Decreto nº 3.927/2023</w:t>
      </w:r>
      <w:r w:rsidR="007E5440" w:rsidRPr="0018215E">
        <w:rPr>
          <w:rFonts w:ascii="Times New Roman" w:hAnsi="Times New Roman" w:cs="Times New Roman"/>
        </w:rPr>
        <w:t xml:space="preserve"> e inciso VIII do §1º do Art. 18 da Lei nº 14.133/2021</w:t>
      </w:r>
      <w:r w:rsidRPr="0018215E">
        <w:rPr>
          <w:rFonts w:ascii="Times New Roman" w:hAnsi="Times New Roman" w:cs="Times New Roman"/>
        </w:rPr>
        <w:t xml:space="preserve">) </w:t>
      </w:r>
      <w:r w:rsidRPr="0018215E">
        <w:rPr>
          <w:rFonts w:ascii="Times New Roman" w:hAnsi="Times New Roman" w:cs="Times New Roman"/>
          <w:b/>
        </w:rPr>
        <w:t xml:space="preserve">seção </w:t>
      </w:r>
      <w:r w:rsidR="00974B93" w:rsidRPr="0018215E">
        <w:rPr>
          <w:rFonts w:ascii="Times New Roman" w:hAnsi="Times New Roman" w:cs="Times New Roman"/>
          <w:b/>
        </w:rPr>
        <w:t>8</w:t>
      </w:r>
      <w:r w:rsidRPr="0018215E">
        <w:rPr>
          <w:rFonts w:ascii="Times New Roman" w:hAnsi="Times New Roman" w:cs="Times New Roman"/>
        </w:rPr>
        <w:t xml:space="preserve"> deste documento</w:t>
      </w:r>
      <w:r w:rsidRPr="0018215E">
        <w:rPr>
          <w:rFonts w:ascii="Times New Roman" w:hAnsi="Times New Roman" w:cs="Times New Roman"/>
          <w:i/>
        </w:rPr>
        <w:t>;</w:t>
      </w:r>
    </w:p>
    <w:p w:rsidR="00C3510D" w:rsidRPr="0018215E" w:rsidRDefault="00C3510D" w:rsidP="00C3510D">
      <w:pPr>
        <w:jc w:val="both"/>
        <w:rPr>
          <w:rFonts w:ascii="Times New Roman" w:hAnsi="Times New Roman" w:cs="Times New Roman"/>
          <w:i/>
        </w:rPr>
      </w:pPr>
      <w:r w:rsidRPr="0018215E">
        <w:rPr>
          <w:rFonts w:ascii="Times New Roman" w:hAnsi="Times New Roman" w:cs="Times New Roman"/>
          <w:i/>
        </w:rPr>
        <w:t>“</w:t>
      </w:r>
      <w:r w:rsidR="00C84FEF" w:rsidRPr="0018215E">
        <w:rPr>
          <w:rFonts w:ascii="Times New Roman" w:hAnsi="Times New Roman" w:cs="Times New Roman"/>
          <w:i/>
        </w:rPr>
        <w:t>X</w:t>
      </w:r>
      <w:r w:rsidRPr="0018215E">
        <w:rPr>
          <w:rFonts w:ascii="Times New Roman" w:hAnsi="Times New Roman" w:cs="Times New Roman"/>
          <w:i/>
        </w:rPr>
        <w:t xml:space="preserve"> – </w:t>
      </w:r>
      <w:r w:rsidRPr="0018215E">
        <w:rPr>
          <w:rFonts w:ascii="Times New Roman" w:hAnsi="Times New Roman" w:cs="Times New Roman"/>
          <w:b/>
          <w:i/>
        </w:rPr>
        <w:t>de</w:t>
      </w:r>
      <w:r w:rsidR="00A36A09" w:rsidRPr="0018215E">
        <w:rPr>
          <w:rFonts w:ascii="Times New Roman" w:hAnsi="Times New Roman" w:cs="Times New Roman"/>
          <w:b/>
          <w:i/>
        </w:rPr>
        <w:t>monstrativo dos resultados pretendidos</w:t>
      </w:r>
      <w:r w:rsidRPr="0018215E">
        <w:rPr>
          <w:rFonts w:ascii="Times New Roman" w:hAnsi="Times New Roman" w:cs="Times New Roman"/>
          <w:i/>
        </w:rPr>
        <w:t xml:space="preserve">, [...]” </w:t>
      </w:r>
      <w:r w:rsidR="00F442F2" w:rsidRPr="0018215E">
        <w:rPr>
          <w:rFonts w:ascii="Times New Roman" w:hAnsi="Times New Roman" w:cs="Times New Roman"/>
        </w:rPr>
        <w:t>(i</w:t>
      </w:r>
      <w:r w:rsidRPr="0018215E">
        <w:rPr>
          <w:rFonts w:ascii="Times New Roman" w:hAnsi="Times New Roman" w:cs="Times New Roman"/>
        </w:rPr>
        <w:t xml:space="preserve">nciso </w:t>
      </w:r>
      <w:r w:rsidR="00CB35A2" w:rsidRPr="0018215E">
        <w:rPr>
          <w:rFonts w:ascii="Times New Roman" w:hAnsi="Times New Roman" w:cs="Times New Roman"/>
        </w:rPr>
        <w:t>X</w:t>
      </w:r>
      <w:r w:rsidRPr="0018215E">
        <w:rPr>
          <w:rFonts w:ascii="Times New Roman" w:hAnsi="Times New Roman" w:cs="Times New Roman"/>
        </w:rPr>
        <w:t xml:space="preserve"> do Art. 59 do Decreto nº 3.927/2023</w:t>
      </w:r>
      <w:r w:rsidR="007E5440" w:rsidRPr="0018215E">
        <w:rPr>
          <w:rFonts w:ascii="Times New Roman" w:hAnsi="Times New Roman" w:cs="Times New Roman"/>
        </w:rPr>
        <w:t xml:space="preserve"> e inciso IX do §1º do Art. 18 da Lei nº 14.133/2021</w:t>
      </w:r>
      <w:r w:rsidRPr="0018215E">
        <w:rPr>
          <w:rFonts w:ascii="Times New Roman" w:hAnsi="Times New Roman" w:cs="Times New Roman"/>
        </w:rPr>
        <w:t xml:space="preserve">) </w:t>
      </w:r>
      <w:r w:rsidRPr="0018215E">
        <w:rPr>
          <w:rFonts w:ascii="Times New Roman" w:hAnsi="Times New Roman" w:cs="Times New Roman"/>
          <w:b/>
        </w:rPr>
        <w:t xml:space="preserve">seção </w:t>
      </w:r>
      <w:r w:rsidR="00974B93" w:rsidRPr="0018215E">
        <w:rPr>
          <w:rFonts w:ascii="Times New Roman" w:hAnsi="Times New Roman" w:cs="Times New Roman"/>
          <w:b/>
        </w:rPr>
        <w:t>9</w:t>
      </w:r>
      <w:r w:rsidRPr="0018215E">
        <w:rPr>
          <w:rFonts w:ascii="Times New Roman" w:hAnsi="Times New Roman" w:cs="Times New Roman"/>
        </w:rPr>
        <w:t xml:space="preserve"> deste documento</w:t>
      </w:r>
      <w:r w:rsidRPr="0018215E">
        <w:rPr>
          <w:rFonts w:ascii="Times New Roman" w:hAnsi="Times New Roman" w:cs="Times New Roman"/>
          <w:i/>
        </w:rPr>
        <w:t>;</w:t>
      </w:r>
    </w:p>
    <w:p w:rsidR="00C3510D" w:rsidRPr="0018215E" w:rsidRDefault="00C3510D" w:rsidP="00C3510D">
      <w:pPr>
        <w:jc w:val="both"/>
        <w:rPr>
          <w:rFonts w:ascii="Times New Roman" w:hAnsi="Times New Roman" w:cs="Times New Roman"/>
          <w:i/>
        </w:rPr>
      </w:pPr>
      <w:r w:rsidRPr="0018215E">
        <w:rPr>
          <w:rFonts w:ascii="Times New Roman" w:hAnsi="Times New Roman" w:cs="Times New Roman"/>
          <w:i/>
        </w:rPr>
        <w:t>“</w:t>
      </w:r>
      <w:r w:rsidR="00CB35A2" w:rsidRPr="0018215E">
        <w:rPr>
          <w:rFonts w:ascii="Times New Roman" w:hAnsi="Times New Roman" w:cs="Times New Roman"/>
          <w:i/>
        </w:rPr>
        <w:t>X</w:t>
      </w:r>
      <w:r w:rsidRPr="0018215E">
        <w:rPr>
          <w:rFonts w:ascii="Times New Roman" w:hAnsi="Times New Roman" w:cs="Times New Roman"/>
          <w:i/>
        </w:rPr>
        <w:t xml:space="preserve">I – </w:t>
      </w:r>
      <w:r w:rsidR="00CB35A2" w:rsidRPr="0018215E">
        <w:rPr>
          <w:rFonts w:ascii="Times New Roman" w:hAnsi="Times New Roman" w:cs="Times New Roman"/>
          <w:b/>
          <w:i/>
        </w:rPr>
        <w:t>providências a serem adotadas pela Administração previamente à celebração do contrato</w:t>
      </w:r>
      <w:r w:rsidRPr="0018215E">
        <w:rPr>
          <w:rFonts w:ascii="Times New Roman" w:hAnsi="Times New Roman" w:cs="Times New Roman"/>
          <w:i/>
        </w:rPr>
        <w:t xml:space="preserve">, [...]” </w:t>
      </w:r>
      <w:r w:rsidR="00F442F2" w:rsidRPr="0018215E">
        <w:rPr>
          <w:rFonts w:ascii="Times New Roman" w:hAnsi="Times New Roman" w:cs="Times New Roman"/>
        </w:rPr>
        <w:t>(i</w:t>
      </w:r>
      <w:r w:rsidRPr="0018215E">
        <w:rPr>
          <w:rFonts w:ascii="Times New Roman" w:hAnsi="Times New Roman" w:cs="Times New Roman"/>
        </w:rPr>
        <w:t xml:space="preserve">nciso </w:t>
      </w:r>
      <w:r w:rsidR="00CB35A2" w:rsidRPr="0018215E">
        <w:rPr>
          <w:rFonts w:ascii="Times New Roman" w:hAnsi="Times New Roman" w:cs="Times New Roman"/>
        </w:rPr>
        <w:t>X</w:t>
      </w:r>
      <w:r w:rsidRPr="0018215E">
        <w:rPr>
          <w:rFonts w:ascii="Times New Roman" w:hAnsi="Times New Roman" w:cs="Times New Roman"/>
        </w:rPr>
        <w:t>I do Art. 59 do Decreto nº 3.927/2023</w:t>
      </w:r>
      <w:r w:rsidR="007E5440" w:rsidRPr="0018215E">
        <w:rPr>
          <w:rFonts w:ascii="Times New Roman" w:hAnsi="Times New Roman" w:cs="Times New Roman"/>
        </w:rPr>
        <w:t xml:space="preserve"> e inciso X do §1º do Art. 18 da Lei nº 14.133/2021</w:t>
      </w:r>
      <w:r w:rsidRPr="0018215E">
        <w:rPr>
          <w:rFonts w:ascii="Times New Roman" w:hAnsi="Times New Roman" w:cs="Times New Roman"/>
        </w:rPr>
        <w:t xml:space="preserve">) </w:t>
      </w:r>
      <w:r w:rsidRPr="0018215E">
        <w:rPr>
          <w:rFonts w:ascii="Times New Roman" w:hAnsi="Times New Roman" w:cs="Times New Roman"/>
          <w:b/>
        </w:rPr>
        <w:t xml:space="preserve">seção </w:t>
      </w:r>
      <w:r w:rsidR="00CB35A2" w:rsidRPr="0018215E">
        <w:rPr>
          <w:rFonts w:ascii="Times New Roman" w:hAnsi="Times New Roman" w:cs="Times New Roman"/>
          <w:b/>
        </w:rPr>
        <w:t>1</w:t>
      </w:r>
      <w:r w:rsidR="00974B93" w:rsidRPr="0018215E">
        <w:rPr>
          <w:rFonts w:ascii="Times New Roman" w:hAnsi="Times New Roman" w:cs="Times New Roman"/>
          <w:b/>
        </w:rPr>
        <w:t>0</w:t>
      </w:r>
      <w:r w:rsidRPr="0018215E">
        <w:rPr>
          <w:rFonts w:ascii="Times New Roman" w:hAnsi="Times New Roman" w:cs="Times New Roman"/>
        </w:rPr>
        <w:t xml:space="preserve"> deste documento</w:t>
      </w:r>
      <w:r w:rsidRPr="0018215E">
        <w:rPr>
          <w:rFonts w:ascii="Times New Roman" w:hAnsi="Times New Roman" w:cs="Times New Roman"/>
          <w:i/>
        </w:rPr>
        <w:t>;</w:t>
      </w:r>
    </w:p>
    <w:p w:rsidR="00974B93" w:rsidRPr="0018215E" w:rsidRDefault="00974B93" w:rsidP="00974B93">
      <w:pPr>
        <w:jc w:val="both"/>
        <w:rPr>
          <w:rFonts w:ascii="Times New Roman" w:hAnsi="Times New Roman" w:cs="Times New Roman"/>
          <w:i/>
        </w:rPr>
      </w:pPr>
      <w:r w:rsidRPr="0018215E">
        <w:rPr>
          <w:rFonts w:ascii="Times New Roman" w:hAnsi="Times New Roman" w:cs="Times New Roman"/>
          <w:i/>
        </w:rPr>
        <w:t xml:space="preserve">“VIII – </w:t>
      </w:r>
      <w:r w:rsidRPr="0018215E">
        <w:rPr>
          <w:rFonts w:ascii="Times New Roman" w:hAnsi="Times New Roman" w:cs="Times New Roman"/>
          <w:b/>
          <w:i/>
        </w:rPr>
        <w:t>contratações correlatas e/ou interdependentes</w:t>
      </w:r>
      <w:r w:rsidRPr="0018215E">
        <w:rPr>
          <w:rFonts w:ascii="Times New Roman" w:hAnsi="Times New Roman" w:cs="Times New Roman"/>
          <w:i/>
        </w:rPr>
        <w:t xml:space="preserve">” </w:t>
      </w:r>
      <w:r w:rsidRPr="0018215E">
        <w:rPr>
          <w:rFonts w:ascii="Times New Roman" w:hAnsi="Times New Roman" w:cs="Times New Roman"/>
        </w:rPr>
        <w:t xml:space="preserve">(inciso VIII do Art. 59 do Decreto nº 3.927/2023 e inciso XI do §1º do Art. 18 da Lei nº 14.133/2021) </w:t>
      </w:r>
      <w:r w:rsidRPr="0018215E">
        <w:rPr>
          <w:rFonts w:ascii="Times New Roman" w:hAnsi="Times New Roman" w:cs="Times New Roman"/>
          <w:b/>
        </w:rPr>
        <w:t>seção 11</w:t>
      </w:r>
      <w:r w:rsidRPr="0018215E">
        <w:rPr>
          <w:rFonts w:ascii="Times New Roman" w:hAnsi="Times New Roman" w:cs="Times New Roman"/>
        </w:rPr>
        <w:t xml:space="preserve"> deste documento</w:t>
      </w:r>
      <w:r w:rsidRPr="0018215E">
        <w:rPr>
          <w:rFonts w:ascii="Times New Roman" w:hAnsi="Times New Roman" w:cs="Times New Roman"/>
          <w:i/>
        </w:rPr>
        <w:t>;</w:t>
      </w:r>
    </w:p>
    <w:p w:rsidR="00C3510D" w:rsidRPr="0018215E" w:rsidRDefault="00C3510D" w:rsidP="00C3510D">
      <w:pPr>
        <w:jc w:val="both"/>
        <w:rPr>
          <w:rFonts w:ascii="Times New Roman" w:hAnsi="Times New Roman" w:cs="Times New Roman"/>
          <w:i/>
        </w:rPr>
      </w:pPr>
      <w:r w:rsidRPr="0018215E">
        <w:rPr>
          <w:rFonts w:ascii="Times New Roman" w:hAnsi="Times New Roman" w:cs="Times New Roman"/>
          <w:i/>
        </w:rPr>
        <w:t>“</w:t>
      </w:r>
      <w:r w:rsidR="00CB35A2" w:rsidRPr="0018215E">
        <w:rPr>
          <w:rFonts w:ascii="Times New Roman" w:hAnsi="Times New Roman" w:cs="Times New Roman"/>
          <w:i/>
        </w:rPr>
        <w:t>X</w:t>
      </w:r>
      <w:r w:rsidRPr="0018215E">
        <w:rPr>
          <w:rFonts w:ascii="Times New Roman" w:hAnsi="Times New Roman" w:cs="Times New Roman"/>
          <w:i/>
        </w:rPr>
        <w:t xml:space="preserve">II – </w:t>
      </w:r>
      <w:r w:rsidRPr="0018215E">
        <w:rPr>
          <w:rFonts w:ascii="Times New Roman" w:hAnsi="Times New Roman" w:cs="Times New Roman"/>
          <w:b/>
          <w:i/>
        </w:rPr>
        <w:t>descrição d</w:t>
      </w:r>
      <w:r w:rsidR="00CB35A2" w:rsidRPr="0018215E">
        <w:rPr>
          <w:rFonts w:ascii="Times New Roman" w:hAnsi="Times New Roman" w:cs="Times New Roman"/>
          <w:b/>
          <w:i/>
        </w:rPr>
        <w:t>e possíveis impactos ambientais</w:t>
      </w:r>
      <w:r w:rsidR="00E85A1F" w:rsidRPr="0018215E">
        <w:rPr>
          <w:rFonts w:ascii="Times New Roman" w:hAnsi="Times New Roman" w:cs="Times New Roman"/>
          <w:b/>
          <w:i/>
        </w:rPr>
        <w:t xml:space="preserve"> e respectivas medidas mitigadoras</w:t>
      </w:r>
      <w:r w:rsidRPr="0018215E">
        <w:rPr>
          <w:rFonts w:ascii="Times New Roman" w:hAnsi="Times New Roman" w:cs="Times New Roman"/>
          <w:i/>
        </w:rPr>
        <w:t xml:space="preserve">, [...]” </w:t>
      </w:r>
      <w:r w:rsidR="00F442F2" w:rsidRPr="0018215E">
        <w:rPr>
          <w:rFonts w:ascii="Times New Roman" w:hAnsi="Times New Roman" w:cs="Times New Roman"/>
        </w:rPr>
        <w:t xml:space="preserve"> (i</w:t>
      </w:r>
      <w:r w:rsidRPr="0018215E">
        <w:rPr>
          <w:rFonts w:ascii="Times New Roman" w:hAnsi="Times New Roman" w:cs="Times New Roman"/>
        </w:rPr>
        <w:t xml:space="preserve">nciso </w:t>
      </w:r>
      <w:r w:rsidR="00E85A1F" w:rsidRPr="0018215E">
        <w:rPr>
          <w:rFonts w:ascii="Times New Roman" w:hAnsi="Times New Roman" w:cs="Times New Roman"/>
        </w:rPr>
        <w:t>X</w:t>
      </w:r>
      <w:r w:rsidRPr="0018215E">
        <w:rPr>
          <w:rFonts w:ascii="Times New Roman" w:hAnsi="Times New Roman" w:cs="Times New Roman"/>
        </w:rPr>
        <w:t>II do Art. 59 do Decreto nº 3.927/2023</w:t>
      </w:r>
      <w:r w:rsidR="007E5440" w:rsidRPr="0018215E">
        <w:rPr>
          <w:rFonts w:ascii="Times New Roman" w:hAnsi="Times New Roman" w:cs="Times New Roman"/>
        </w:rPr>
        <w:t xml:space="preserve"> e inciso XII do §1º do Art. 18 da Lei nº 14.133/2021</w:t>
      </w:r>
      <w:r w:rsidRPr="0018215E">
        <w:rPr>
          <w:rFonts w:ascii="Times New Roman" w:hAnsi="Times New Roman" w:cs="Times New Roman"/>
        </w:rPr>
        <w:t xml:space="preserve">) </w:t>
      </w:r>
      <w:r w:rsidRPr="0018215E">
        <w:rPr>
          <w:rFonts w:ascii="Times New Roman" w:hAnsi="Times New Roman" w:cs="Times New Roman"/>
          <w:b/>
        </w:rPr>
        <w:t xml:space="preserve">seção </w:t>
      </w:r>
      <w:r w:rsidR="00E85A1F" w:rsidRPr="0018215E">
        <w:rPr>
          <w:rFonts w:ascii="Times New Roman" w:hAnsi="Times New Roman" w:cs="Times New Roman"/>
          <w:b/>
        </w:rPr>
        <w:t>12</w:t>
      </w:r>
      <w:r w:rsidRPr="0018215E">
        <w:rPr>
          <w:rFonts w:ascii="Times New Roman" w:hAnsi="Times New Roman" w:cs="Times New Roman"/>
        </w:rPr>
        <w:t xml:space="preserve"> deste documento</w:t>
      </w:r>
      <w:r w:rsidRPr="0018215E">
        <w:rPr>
          <w:rFonts w:ascii="Times New Roman" w:hAnsi="Times New Roman" w:cs="Times New Roman"/>
          <w:i/>
        </w:rPr>
        <w:t>;</w:t>
      </w:r>
    </w:p>
    <w:p w:rsidR="00C3510D" w:rsidRPr="0018215E" w:rsidRDefault="00C3510D" w:rsidP="00C3510D">
      <w:pPr>
        <w:jc w:val="both"/>
        <w:rPr>
          <w:rFonts w:ascii="Times New Roman" w:hAnsi="Times New Roman" w:cs="Times New Roman"/>
          <w:i/>
        </w:rPr>
      </w:pPr>
      <w:r w:rsidRPr="0018215E">
        <w:rPr>
          <w:rFonts w:ascii="Times New Roman" w:hAnsi="Times New Roman" w:cs="Times New Roman"/>
          <w:i/>
        </w:rPr>
        <w:t>“</w:t>
      </w:r>
      <w:r w:rsidR="00E85A1F" w:rsidRPr="0018215E">
        <w:rPr>
          <w:rFonts w:ascii="Times New Roman" w:hAnsi="Times New Roman" w:cs="Times New Roman"/>
          <w:i/>
        </w:rPr>
        <w:t>XI</w:t>
      </w:r>
      <w:r w:rsidRPr="0018215E">
        <w:rPr>
          <w:rFonts w:ascii="Times New Roman" w:hAnsi="Times New Roman" w:cs="Times New Roman"/>
          <w:i/>
        </w:rPr>
        <w:t xml:space="preserve">II – </w:t>
      </w:r>
      <w:r w:rsidR="00E85A1F" w:rsidRPr="0018215E">
        <w:rPr>
          <w:rFonts w:ascii="Times New Roman" w:hAnsi="Times New Roman" w:cs="Times New Roman"/>
          <w:b/>
          <w:i/>
        </w:rPr>
        <w:t>posicionamento conclusivo sobre a adequação da contratação</w:t>
      </w:r>
      <w:r w:rsidR="00E85A1F" w:rsidRPr="0018215E">
        <w:rPr>
          <w:rFonts w:ascii="Times New Roman" w:hAnsi="Times New Roman" w:cs="Times New Roman"/>
          <w:i/>
        </w:rPr>
        <w:t xml:space="preserve"> para o atendimento da necessidade a que se destina.</w:t>
      </w:r>
      <w:r w:rsidRPr="0018215E">
        <w:rPr>
          <w:rFonts w:ascii="Times New Roman" w:hAnsi="Times New Roman" w:cs="Times New Roman"/>
          <w:i/>
        </w:rPr>
        <w:t xml:space="preserve">” </w:t>
      </w:r>
      <w:r w:rsidR="00F442F2" w:rsidRPr="0018215E">
        <w:rPr>
          <w:rFonts w:ascii="Times New Roman" w:hAnsi="Times New Roman" w:cs="Times New Roman"/>
        </w:rPr>
        <w:t>(i</w:t>
      </w:r>
      <w:r w:rsidRPr="0018215E">
        <w:rPr>
          <w:rFonts w:ascii="Times New Roman" w:hAnsi="Times New Roman" w:cs="Times New Roman"/>
        </w:rPr>
        <w:t xml:space="preserve">nciso </w:t>
      </w:r>
      <w:r w:rsidR="00E85A1F" w:rsidRPr="0018215E">
        <w:rPr>
          <w:rFonts w:ascii="Times New Roman" w:hAnsi="Times New Roman" w:cs="Times New Roman"/>
        </w:rPr>
        <w:t>XI</w:t>
      </w:r>
      <w:r w:rsidRPr="0018215E">
        <w:rPr>
          <w:rFonts w:ascii="Times New Roman" w:hAnsi="Times New Roman" w:cs="Times New Roman"/>
        </w:rPr>
        <w:t>II do Art. 59 do Decreto nº 3.927/2023</w:t>
      </w:r>
      <w:r w:rsidR="007E5440" w:rsidRPr="0018215E">
        <w:rPr>
          <w:rFonts w:ascii="Times New Roman" w:hAnsi="Times New Roman" w:cs="Times New Roman"/>
        </w:rPr>
        <w:t xml:space="preserve"> e inciso XIII do §1º do Art. 18 da Lei nº 14.133/2021</w:t>
      </w:r>
      <w:r w:rsidRPr="0018215E">
        <w:rPr>
          <w:rFonts w:ascii="Times New Roman" w:hAnsi="Times New Roman" w:cs="Times New Roman"/>
        </w:rPr>
        <w:t xml:space="preserve">) </w:t>
      </w:r>
      <w:r w:rsidRPr="0018215E">
        <w:rPr>
          <w:rFonts w:ascii="Times New Roman" w:hAnsi="Times New Roman" w:cs="Times New Roman"/>
          <w:b/>
        </w:rPr>
        <w:t xml:space="preserve">seção </w:t>
      </w:r>
      <w:r w:rsidR="00E85A1F" w:rsidRPr="0018215E">
        <w:rPr>
          <w:rFonts w:ascii="Times New Roman" w:hAnsi="Times New Roman" w:cs="Times New Roman"/>
          <w:b/>
        </w:rPr>
        <w:t>13</w:t>
      </w:r>
      <w:r w:rsidRPr="0018215E">
        <w:rPr>
          <w:rFonts w:ascii="Times New Roman" w:hAnsi="Times New Roman" w:cs="Times New Roman"/>
        </w:rPr>
        <w:t xml:space="preserve"> deste documento</w:t>
      </w:r>
      <w:r w:rsidRPr="0018215E">
        <w:rPr>
          <w:rFonts w:ascii="Times New Roman" w:hAnsi="Times New Roman" w:cs="Times New Roman"/>
          <w:i/>
        </w:rPr>
        <w:t>;</w:t>
      </w:r>
    </w:p>
    <w:p w:rsidR="00234CE9" w:rsidRPr="0018215E" w:rsidRDefault="00234CE9">
      <w:pPr>
        <w:jc w:val="both"/>
        <w:rPr>
          <w:rFonts w:ascii="Times New Roman" w:hAnsi="Times New Roman" w:cs="Times New Roman"/>
        </w:rPr>
      </w:pPr>
    </w:p>
    <w:p w:rsidR="00573516" w:rsidRPr="0018215E" w:rsidRDefault="00573516" w:rsidP="00573516">
      <w:pPr>
        <w:jc w:val="both"/>
        <w:rPr>
          <w:rFonts w:ascii="Times New Roman" w:hAnsi="Times New Roman" w:cs="Times New Roman"/>
        </w:rPr>
      </w:pPr>
      <w:r w:rsidRPr="0018215E">
        <w:rPr>
          <w:rFonts w:ascii="Times New Roman" w:hAnsi="Times New Roman" w:cs="Times New Roman"/>
        </w:rPr>
        <w:t>O presente Estudo Técnico Preliminar apresenta os estudos técnicos realizados visando identificar e analisar as soluções disponíveis no mercado, em termos de requisitos, alternativas e justificativas para escolha da melhor solução para alcançar os resultados pretendidos.</w:t>
      </w:r>
    </w:p>
    <w:p w:rsidR="00573516" w:rsidRPr="0018215E" w:rsidRDefault="00573516" w:rsidP="00573516">
      <w:pPr>
        <w:jc w:val="both"/>
        <w:rPr>
          <w:rFonts w:ascii="Times New Roman" w:hAnsi="Times New Roman" w:cs="Times New Roman"/>
        </w:rPr>
      </w:pPr>
      <w:r w:rsidRPr="0018215E">
        <w:rPr>
          <w:rFonts w:ascii="Times New Roman" w:hAnsi="Times New Roman" w:cs="Times New Roman"/>
        </w:rPr>
        <w:t>Assim, a delimitação da solução nos termos e condições estipulados não é decisão de livre arbítrio desta equipe. Aqui estão pautados elementos que, fundamentadamente, têm a capacidade e potencial para, em tese, considerando o caso concreto, melhor atender ao interesse público.</w:t>
      </w:r>
    </w:p>
    <w:p w:rsidR="00573516" w:rsidRDefault="00573516">
      <w:pPr>
        <w:jc w:val="both"/>
        <w:rPr>
          <w:rFonts w:ascii="Times New Roman" w:hAnsi="Times New Roman" w:cs="Times New Roman"/>
        </w:rPr>
      </w:pPr>
    </w:p>
    <w:p w:rsidR="008A6369" w:rsidRDefault="008A6369">
      <w:pPr>
        <w:jc w:val="both"/>
        <w:rPr>
          <w:rFonts w:ascii="Times New Roman" w:hAnsi="Times New Roman" w:cs="Times New Roman"/>
        </w:rPr>
      </w:pPr>
    </w:p>
    <w:p w:rsidR="008A6369" w:rsidRDefault="008A6369">
      <w:pPr>
        <w:jc w:val="both"/>
        <w:rPr>
          <w:rFonts w:ascii="Times New Roman" w:hAnsi="Times New Roman" w:cs="Times New Roman"/>
        </w:rPr>
      </w:pPr>
    </w:p>
    <w:p w:rsidR="008A6369" w:rsidRDefault="008A6369">
      <w:pPr>
        <w:jc w:val="both"/>
        <w:rPr>
          <w:rFonts w:ascii="Times New Roman" w:hAnsi="Times New Roman" w:cs="Times New Roman"/>
        </w:rPr>
      </w:pPr>
    </w:p>
    <w:p w:rsidR="008A6369" w:rsidRDefault="008A6369">
      <w:pPr>
        <w:jc w:val="both"/>
        <w:rPr>
          <w:rFonts w:ascii="Times New Roman" w:hAnsi="Times New Roman" w:cs="Times New Roman"/>
        </w:rPr>
      </w:pPr>
    </w:p>
    <w:p w:rsidR="008A6369" w:rsidRDefault="008A6369">
      <w:pPr>
        <w:jc w:val="both"/>
        <w:rPr>
          <w:rFonts w:ascii="Times New Roman" w:hAnsi="Times New Roman" w:cs="Times New Roman"/>
        </w:rPr>
      </w:pPr>
    </w:p>
    <w:p w:rsidR="008A6369" w:rsidRDefault="008A6369">
      <w:pPr>
        <w:jc w:val="both"/>
        <w:rPr>
          <w:rFonts w:ascii="Times New Roman" w:hAnsi="Times New Roman" w:cs="Times New Roman"/>
        </w:rPr>
      </w:pPr>
    </w:p>
    <w:p w:rsidR="008A6369" w:rsidRDefault="008A6369">
      <w:pPr>
        <w:jc w:val="both"/>
        <w:rPr>
          <w:rFonts w:ascii="Times New Roman" w:hAnsi="Times New Roman" w:cs="Times New Roman"/>
        </w:rPr>
      </w:pPr>
    </w:p>
    <w:p w:rsidR="008A6369" w:rsidRDefault="008A6369">
      <w:pPr>
        <w:jc w:val="both"/>
        <w:rPr>
          <w:rFonts w:ascii="Times New Roman" w:hAnsi="Times New Roman" w:cs="Times New Roman"/>
        </w:rPr>
      </w:pPr>
    </w:p>
    <w:p w:rsidR="008A6369" w:rsidRDefault="008A6369">
      <w:pPr>
        <w:jc w:val="both"/>
        <w:rPr>
          <w:rFonts w:ascii="Times New Roman" w:hAnsi="Times New Roman" w:cs="Times New Roman"/>
        </w:rPr>
      </w:pPr>
    </w:p>
    <w:p w:rsidR="008A6369" w:rsidRPr="0018215E" w:rsidRDefault="008A6369">
      <w:pPr>
        <w:jc w:val="both"/>
        <w:rPr>
          <w:rFonts w:ascii="Times New Roman" w:hAnsi="Times New Roman" w:cs="Times New Roman"/>
        </w:rPr>
      </w:pPr>
    </w:p>
    <w:p w:rsidR="009302A8" w:rsidRDefault="0083656E">
      <w:pPr>
        <w:jc w:val="both"/>
        <w:rPr>
          <w:rFonts w:ascii="Times New Roman" w:hAnsi="Times New Roman" w:cs="Times New Roman"/>
        </w:rPr>
      </w:pPr>
      <w:r w:rsidRPr="0018215E">
        <w:rPr>
          <w:rFonts w:ascii="Times New Roman" w:hAnsi="Times New Roman" w:cs="Times New Roman"/>
          <w:b/>
          <w:u w:val="single"/>
        </w:rPr>
        <w:t>SEÇÃO 1 - DESCRIÇÃO DA NECESSIDADE DA CONTRATAÇÃO</w:t>
      </w:r>
      <w:r w:rsidR="00B053A5" w:rsidRPr="0018215E">
        <w:rPr>
          <w:rFonts w:ascii="Times New Roman" w:hAnsi="Times New Roman" w:cs="Times New Roman"/>
          <w:b/>
          <w:i/>
        </w:rPr>
        <w:t xml:space="preserve"> </w:t>
      </w:r>
      <w:r w:rsidR="00B053A5" w:rsidRPr="0018215E">
        <w:rPr>
          <w:rFonts w:ascii="Times New Roman" w:hAnsi="Times New Roman" w:cs="Times New Roman"/>
        </w:rPr>
        <w:t>(inciso I do Art. 59 do Decreto nº 3.927/2023, e inciso I do §1º do Art. 18 da Lei nº 14.133/2021).</w:t>
      </w:r>
    </w:p>
    <w:p w:rsidR="00465895" w:rsidRPr="00465895" w:rsidRDefault="00C92FCA" w:rsidP="00465895">
      <w:pPr>
        <w:jc w:val="both"/>
        <w:rPr>
          <w:rFonts w:ascii="Bookman Old Style" w:eastAsia="Arial" w:hAnsi="Bookman Old Style" w:cs="Arial"/>
        </w:rPr>
      </w:pPr>
      <w:r w:rsidRPr="003B01C9">
        <w:rPr>
          <w:rFonts w:ascii="Arial" w:eastAsia="Arial" w:hAnsi="Arial" w:cs="Arial"/>
        </w:rPr>
        <w:t xml:space="preserve">      </w:t>
      </w:r>
      <w:r w:rsidR="00465895" w:rsidRPr="00465895">
        <w:rPr>
          <w:rFonts w:ascii="Bookman Old Style" w:eastAsia="Arial" w:hAnsi="Bookman Old Style" w:cs="Arial"/>
        </w:rPr>
        <w:t>A contratação visa, em síntese, a contratação de empresa de pessoa jurídica especializada no fornecimento de serviços e materia</w:t>
      </w:r>
      <w:r w:rsidR="0097264E">
        <w:rPr>
          <w:rFonts w:ascii="Bookman Old Style" w:eastAsia="Arial" w:hAnsi="Bookman Old Style" w:cs="Arial"/>
        </w:rPr>
        <w:t>is</w:t>
      </w:r>
      <w:r w:rsidR="00465895" w:rsidRPr="00465895">
        <w:rPr>
          <w:rFonts w:ascii="Bookman Old Style" w:eastAsia="Arial" w:hAnsi="Bookman Old Style" w:cs="Arial"/>
        </w:rPr>
        <w:t xml:space="preserve"> para reforma d</w:t>
      </w:r>
      <w:r w:rsidR="0097264E">
        <w:rPr>
          <w:rFonts w:ascii="Bookman Old Style" w:eastAsia="Arial" w:hAnsi="Bookman Old Style" w:cs="Arial"/>
        </w:rPr>
        <w:t>a</w:t>
      </w:r>
      <w:r w:rsidR="00465895" w:rsidRPr="00465895">
        <w:rPr>
          <w:rFonts w:ascii="Bookman Old Style" w:eastAsia="Arial" w:hAnsi="Bookman Old Style" w:cs="Arial"/>
        </w:rPr>
        <w:t xml:space="preserve"> edificação com área </w:t>
      </w:r>
      <w:r w:rsidR="0097264E">
        <w:rPr>
          <w:rFonts w:ascii="Bookman Old Style" w:eastAsia="Arial" w:hAnsi="Bookman Old Style" w:cs="Arial"/>
        </w:rPr>
        <w:t>destinada a atividades esportivas</w:t>
      </w:r>
      <w:r w:rsidR="00465895" w:rsidRPr="00465895">
        <w:rPr>
          <w:rFonts w:ascii="Bookman Old Style" w:eastAsia="Arial" w:hAnsi="Bookman Old Style" w:cs="Arial"/>
        </w:rPr>
        <w:t xml:space="preserve">, </w:t>
      </w:r>
      <w:r w:rsidR="0097264E">
        <w:rPr>
          <w:rFonts w:ascii="Bookman Old Style" w:eastAsia="Arial" w:hAnsi="Bookman Old Style" w:cs="Arial"/>
        </w:rPr>
        <w:t>dentre os serviços temos a substituição de calha, substituição de telhas de fibrocimento por telhas metálicas,</w:t>
      </w:r>
      <w:r w:rsidR="00D776C6">
        <w:rPr>
          <w:rFonts w:ascii="Bookman Old Style" w:eastAsia="Arial" w:hAnsi="Bookman Old Style" w:cs="Arial"/>
        </w:rPr>
        <w:t xml:space="preserve"> pintura externa,</w:t>
      </w:r>
      <w:r w:rsidR="0097264E">
        <w:rPr>
          <w:rFonts w:ascii="Bookman Old Style" w:eastAsia="Arial" w:hAnsi="Bookman Old Style" w:cs="Arial"/>
        </w:rPr>
        <w:t xml:space="preserve"> pintura de estrutura metálica</w:t>
      </w:r>
      <w:r w:rsidR="00D776C6">
        <w:rPr>
          <w:rFonts w:ascii="Bookman Old Style" w:eastAsia="Arial" w:hAnsi="Bookman Old Style" w:cs="Arial"/>
        </w:rPr>
        <w:t xml:space="preserve"> e telhas</w:t>
      </w:r>
      <w:r w:rsidR="0097264E">
        <w:rPr>
          <w:rFonts w:ascii="Bookman Old Style" w:eastAsia="Arial" w:hAnsi="Bookman Old Style" w:cs="Arial"/>
        </w:rPr>
        <w:t xml:space="preserve">, fornecimento e instalação de guarda-corpo, luminárias para quadra poliesportiva interna e para </w:t>
      </w:r>
      <w:r w:rsidR="00D776C6">
        <w:rPr>
          <w:rFonts w:ascii="Bookman Old Style" w:eastAsia="Arial" w:hAnsi="Bookman Old Style" w:cs="Arial"/>
        </w:rPr>
        <w:t>campo</w:t>
      </w:r>
      <w:r w:rsidR="0097264E">
        <w:rPr>
          <w:rFonts w:ascii="Bookman Old Style" w:eastAsia="Arial" w:hAnsi="Bookman Old Style" w:cs="Arial"/>
        </w:rPr>
        <w:t xml:space="preserve"> extern</w:t>
      </w:r>
      <w:r w:rsidR="00D776C6">
        <w:rPr>
          <w:rFonts w:ascii="Bookman Old Style" w:eastAsia="Arial" w:hAnsi="Bookman Old Style" w:cs="Arial"/>
        </w:rPr>
        <w:t>o</w:t>
      </w:r>
      <w:r w:rsidR="0097264E">
        <w:rPr>
          <w:rFonts w:ascii="Bookman Old Style" w:eastAsia="Arial" w:hAnsi="Bookman Old Style" w:cs="Arial"/>
        </w:rPr>
        <w:t xml:space="preserve">, fornecimento e instalação de cadeiras, demolição de estrutura, adequação de arquibancadas, </w:t>
      </w:r>
      <w:r w:rsidR="00465895" w:rsidRPr="00465895">
        <w:rPr>
          <w:rFonts w:ascii="Bookman Old Style" w:eastAsia="Arial" w:hAnsi="Bookman Old Style" w:cs="Arial"/>
        </w:rPr>
        <w:t xml:space="preserve"> </w:t>
      </w:r>
      <w:r w:rsidR="0097264E">
        <w:rPr>
          <w:rFonts w:ascii="Bookman Old Style" w:eastAsia="Arial" w:hAnsi="Bookman Old Style" w:cs="Arial"/>
        </w:rPr>
        <w:t>e demais serviços descritos nos elementos técnico</w:t>
      </w:r>
      <w:r w:rsidR="00465895" w:rsidRPr="00465895">
        <w:rPr>
          <w:rFonts w:ascii="Bookman Old Style" w:eastAsia="Arial" w:hAnsi="Bookman Old Style" w:cs="Arial"/>
        </w:rPr>
        <w:t>, conforme especificações</w:t>
      </w:r>
      <w:r w:rsidR="0097264E">
        <w:rPr>
          <w:rFonts w:ascii="Bookman Old Style" w:eastAsia="Arial" w:hAnsi="Bookman Old Style" w:cs="Arial"/>
        </w:rPr>
        <w:t xml:space="preserve"> dos elementos constituintes do orçamento sendo: planilha orçamentária, memorial descritivo memorial de cálculo e croquis com os serviços.</w:t>
      </w:r>
    </w:p>
    <w:p w:rsidR="00465895" w:rsidRPr="00465895" w:rsidRDefault="00465895" w:rsidP="00465895">
      <w:pPr>
        <w:jc w:val="both"/>
        <w:rPr>
          <w:rFonts w:ascii="Bookman Old Style" w:eastAsia="Arial" w:hAnsi="Bookman Old Style" w:cs="Arial"/>
          <w:b/>
        </w:rPr>
      </w:pPr>
      <w:r w:rsidRPr="00465895">
        <w:rPr>
          <w:rFonts w:ascii="Bookman Old Style" w:eastAsia="Arial" w:hAnsi="Bookman Old Style" w:cs="Arial"/>
          <w:b/>
        </w:rPr>
        <w:t xml:space="preserve">A importância da reforma </w:t>
      </w:r>
      <w:r w:rsidR="00D776C6">
        <w:rPr>
          <w:rFonts w:ascii="Bookman Old Style" w:eastAsia="Arial" w:hAnsi="Bookman Old Style" w:cs="Arial"/>
          <w:b/>
        </w:rPr>
        <w:t xml:space="preserve">no </w:t>
      </w:r>
      <w:r w:rsidR="00D776C6" w:rsidRPr="00D776C6">
        <w:rPr>
          <w:rFonts w:ascii="Bookman Old Style" w:eastAsia="Arial" w:hAnsi="Bookman Old Style" w:cs="Arial"/>
          <w:b/>
        </w:rPr>
        <w:t>Centro Esportivo Egídio Veronesse</w:t>
      </w:r>
      <w:r w:rsidR="00D776C6">
        <w:rPr>
          <w:rFonts w:ascii="Bookman Old Style" w:eastAsia="Arial" w:hAnsi="Bookman Old Style" w:cs="Arial"/>
          <w:b/>
        </w:rPr>
        <w:t xml:space="preserve"> (</w:t>
      </w:r>
      <w:r w:rsidR="00433C14">
        <w:rPr>
          <w:rFonts w:ascii="Bookman Old Style" w:eastAsia="Arial" w:hAnsi="Bookman Old Style" w:cs="Arial"/>
          <w:b/>
        </w:rPr>
        <w:t xml:space="preserve">Ginásio </w:t>
      </w:r>
      <w:r w:rsidR="00D776C6">
        <w:rPr>
          <w:rFonts w:ascii="Bookman Old Style" w:eastAsia="Arial" w:hAnsi="Bookman Old Style" w:cs="Arial"/>
          <w:b/>
        </w:rPr>
        <w:t>“Carecão”)</w:t>
      </w:r>
      <w:r w:rsidRPr="00465895">
        <w:rPr>
          <w:rFonts w:ascii="Bookman Old Style" w:eastAsia="Arial" w:hAnsi="Bookman Old Style" w:cs="Arial"/>
          <w:b/>
        </w:rPr>
        <w:t>: eficiência, organização e preservação do ambiente de trabalho</w:t>
      </w:r>
    </w:p>
    <w:p w:rsidR="00694C4E" w:rsidRDefault="00694C4E" w:rsidP="00465895">
      <w:pPr>
        <w:ind w:firstLine="708"/>
        <w:jc w:val="both"/>
        <w:rPr>
          <w:rFonts w:ascii="Bookman Old Style" w:eastAsia="Arial" w:hAnsi="Bookman Old Style" w:cs="Arial"/>
        </w:rPr>
      </w:pPr>
      <w:r w:rsidRPr="00694C4E">
        <w:rPr>
          <w:rFonts w:ascii="Bookman Old Style" w:eastAsia="Arial" w:hAnsi="Bookman Old Style" w:cs="Arial"/>
        </w:rPr>
        <w:t>O ginásio poliesportivo é um equipamento social e esportivo de valor inestimável para a comunidade, atuando como o principal polo agregador para a prática de atividades físicas, competições e eventos de caráter educacional e de lazer. No contexto atual, a necessidade de uma reforma que contemple a manutenção da cobertura e das arquibancadas, torna-se fundamental. Tais intervenções são cruciais não apenas para garantir a segurança e a integridade física dos usuários e atletas, mas também para restaurar a capacidade plena de uso, promover a eficiência energética com iluminação adequada e assegurar a longevidade estrutural do patrimônio público, fortalecendo, assim, o fomento ao esporte local.</w:t>
      </w:r>
    </w:p>
    <w:p w:rsidR="00465895" w:rsidRPr="00465895" w:rsidRDefault="00C214D9" w:rsidP="00465895">
      <w:pPr>
        <w:jc w:val="both"/>
        <w:rPr>
          <w:rFonts w:ascii="Bookman Old Style" w:eastAsia="Arial" w:hAnsi="Bookman Old Style" w:cs="Arial"/>
          <w:b/>
        </w:rPr>
      </w:pPr>
      <w:r w:rsidRPr="00C214D9">
        <w:rPr>
          <w:rFonts w:ascii="Bookman Old Style" w:eastAsia="Arial" w:hAnsi="Bookman Old Style" w:cs="Arial"/>
          <w:b/>
        </w:rPr>
        <w:t>Cobertura do Ginásio: Proteção, Segurança e Continuidade das Atividades</w:t>
      </w:r>
    </w:p>
    <w:p w:rsidR="00FF328F" w:rsidRDefault="00FF328F" w:rsidP="00465895">
      <w:pPr>
        <w:ind w:firstLine="708"/>
        <w:jc w:val="both"/>
        <w:rPr>
          <w:rFonts w:ascii="Bookman Old Style" w:eastAsia="Arial" w:hAnsi="Bookman Old Style" w:cs="Arial"/>
        </w:rPr>
      </w:pPr>
      <w:r w:rsidRPr="00FF328F">
        <w:rPr>
          <w:rFonts w:ascii="Bookman Old Style" w:eastAsia="Arial" w:hAnsi="Bookman Old Style" w:cs="Arial"/>
        </w:rPr>
        <w:t xml:space="preserve">A cobertura do ginásio poliesportivo possui uma função crucial na preservação do investimento público e na garantia da continuidade das atividades esportivas e sociais. A manifestação de problemas estruturais, como </w:t>
      </w:r>
      <w:r w:rsidR="00B733BF">
        <w:rPr>
          <w:rFonts w:ascii="Bookman Old Style" w:eastAsia="Arial" w:hAnsi="Bookman Old Style" w:cs="Arial"/>
        </w:rPr>
        <w:t xml:space="preserve">oxidação, </w:t>
      </w:r>
      <w:r w:rsidRPr="00FF328F">
        <w:rPr>
          <w:rFonts w:ascii="Bookman Old Style" w:eastAsia="Arial" w:hAnsi="Bookman Old Style" w:cs="Arial"/>
        </w:rPr>
        <w:t>fissuras, telhas danificadas e, consequentemente, goteiras e infiltrações, gera um risco significativo. Tais falhas comprometem diretamente o piso da quadra, que é sensível à umidade, podendo causar bolhas, empenamentos e deterioração prematura. Mais criticamente, a presença de água na área de jogo cria pisos escorregadios, elevando drasticamente o risco de acidentes e lesões graves aos atletas e demais usuários. Adicionalmente, vazamentos próximos a sistemas de iluminação e fiação elétrica ameaçam a segurança operacional e podem levar à interdição total do espaço, impactando negativamente a comunidade que depende do equipamento.</w:t>
      </w:r>
    </w:p>
    <w:p w:rsidR="00465895" w:rsidRPr="00465895" w:rsidRDefault="00C214D9" w:rsidP="00465895">
      <w:pPr>
        <w:jc w:val="both"/>
        <w:rPr>
          <w:rFonts w:ascii="Bookman Old Style" w:eastAsia="Arial" w:hAnsi="Bookman Old Style" w:cs="Arial"/>
          <w:b/>
        </w:rPr>
      </w:pPr>
      <w:r w:rsidRPr="00C214D9">
        <w:rPr>
          <w:rFonts w:ascii="Bookman Old Style" w:eastAsia="Arial" w:hAnsi="Bookman Old Style" w:cs="Arial"/>
          <w:b/>
        </w:rPr>
        <w:t>Pintura Externa do Ginásio: Preservação Estrutural e Imagem Institucional</w:t>
      </w:r>
    </w:p>
    <w:p w:rsidR="00B733BF" w:rsidRDefault="00B733BF" w:rsidP="00465895">
      <w:pPr>
        <w:ind w:firstLine="708"/>
        <w:jc w:val="both"/>
        <w:rPr>
          <w:rFonts w:ascii="Bookman Old Style" w:eastAsia="Arial" w:hAnsi="Bookman Old Style" w:cs="Arial"/>
        </w:rPr>
      </w:pPr>
      <w:r w:rsidRPr="00B733BF">
        <w:rPr>
          <w:rFonts w:ascii="Bookman Old Style" w:eastAsia="Arial" w:hAnsi="Bookman Old Style" w:cs="Arial"/>
        </w:rPr>
        <w:lastRenderedPageBreak/>
        <w:t>A reforma eficaz deve contemplar, de igual modo, a pintura geral das fachadas e paredes externas do ginásio poliesportivo. A aplicação de uma camada protetora com tinta adequada é essencial para proteger o substrato (concreto e alvenaria) contra a ação degradante de agentes atmosféricos como sol (raios UV), chuva e umidade, prevenindo o surgimento de fissuras e o desgaste precoce da estrutura. Além da função de preservação, a renovação da pintura externa desempenha um papel fundamental na melhoria da imagem institucional do equipamento público. Um edifício com aparência conservada, cores vivas e sem manchas transmite à comunidade uma sensação de cuidado, valorização e profissionalismo, incentivando o uso e reforçando o papel do ginásio como um marco de referência positivo no município.</w:t>
      </w:r>
    </w:p>
    <w:p w:rsidR="00210180" w:rsidRPr="00465895" w:rsidRDefault="00C214D9" w:rsidP="00210180">
      <w:pPr>
        <w:jc w:val="both"/>
        <w:rPr>
          <w:rFonts w:ascii="Bookman Old Style" w:eastAsia="Arial" w:hAnsi="Bookman Old Style" w:cs="Arial"/>
          <w:b/>
        </w:rPr>
      </w:pPr>
      <w:r w:rsidRPr="00C214D9">
        <w:rPr>
          <w:rFonts w:ascii="Bookman Old Style" w:eastAsia="Arial" w:hAnsi="Bookman Old Style" w:cs="Arial"/>
          <w:b/>
        </w:rPr>
        <w:t xml:space="preserve">Adequação do Acesso Principal: </w:t>
      </w:r>
      <w:r w:rsidR="007058B1">
        <w:rPr>
          <w:rFonts w:ascii="Bookman Old Style" w:eastAsia="Arial" w:hAnsi="Bookman Old Style" w:cs="Arial"/>
          <w:b/>
        </w:rPr>
        <w:t>Substituição das Portas</w:t>
      </w:r>
    </w:p>
    <w:p w:rsidR="00210180" w:rsidRDefault="00210180" w:rsidP="00210180">
      <w:pPr>
        <w:ind w:firstLine="708"/>
        <w:jc w:val="both"/>
        <w:rPr>
          <w:rFonts w:ascii="Bookman Old Style" w:eastAsia="Arial" w:hAnsi="Bookman Old Style" w:cs="Arial"/>
        </w:rPr>
      </w:pPr>
      <w:r w:rsidRPr="00210180">
        <w:rPr>
          <w:rFonts w:ascii="Bookman Old Style" w:eastAsia="Arial" w:hAnsi="Bookman Old Style" w:cs="Arial"/>
        </w:rPr>
        <w:t xml:space="preserve">A reforma do ginásio poliesportivo inclui a crucial adequação do acesso principal, a substituição das portas de entrada. </w:t>
      </w:r>
      <w:r w:rsidR="007058B1">
        <w:rPr>
          <w:rFonts w:ascii="Bookman Old Style" w:eastAsia="Arial" w:hAnsi="Bookman Old Style" w:cs="Arial"/>
        </w:rPr>
        <w:t>A</w:t>
      </w:r>
      <w:bookmarkStart w:id="0" w:name="_GoBack"/>
      <w:bookmarkEnd w:id="0"/>
      <w:r w:rsidRPr="00210180">
        <w:rPr>
          <w:rFonts w:ascii="Bookman Old Style" w:eastAsia="Arial" w:hAnsi="Bookman Old Style" w:cs="Arial"/>
        </w:rPr>
        <w:t xml:space="preserve"> substituição das antigas portas metálicas por portas de vidro temperado representa um avanço em termos de modernização estética, proporcionando maior visibilidade e segurança na entrada e saída de u</w:t>
      </w:r>
      <w:r>
        <w:rPr>
          <w:rFonts w:ascii="Bookman Old Style" w:eastAsia="Arial" w:hAnsi="Bookman Old Style" w:cs="Arial"/>
        </w:rPr>
        <w:t>suários. Essas portas de vidro</w:t>
      </w:r>
      <w:r w:rsidRPr="00210180">
        <w:rPr>
          <w:rFonts w:ascii="Bookman Old Style" w:eastAsia="Arial" w:hAnsi="Bookman Old Style" w:cs="Arial"/>
        </w:rPr>
        <w:t xml:space="preserve"> reforçam o compromisso com a acessibilidade universal, oferecendo uma entrada mais acolhedora, clara e funcional para todos os frequentadores do complexo esportivo.</w:t>
      </w:r>
    </w:p>
    <w:p w:rsidR="00210180" w:rsidRPr="00465895" w:rsidRDefault="00C214D9" w:rsidP="00210180">
      <w:pPr>
        <w:jc w:val="both"/>
        <w:rPr>
          <w:rFonts w:ascii="Bookman Old Style" w:eastAsia="Arial" w:hAnsi="Bookman Old Style" w:cs="Arial"/>
          <w:b/>
        </w:rPr>
      </w:pPr>
      <w:r w:rsidRPr="00C214D9">
        <w:rPr>
          <w:rFonts w:ascii="Bookman Old Style" w:eastAsia="Arial" w:hAnsi="Bookman Old Style" w:cs="Arial"/>
          <w:b/>
        </w:rPr>
        <w:t>Modernização da Iluminação: Eficiência Energética e Qu</w:t>
      </w:r>
      <w:r>
        <w:rPr>
          <w:rFonts w:ascii="Bookman Old Style" w:eastAsia="Arial" w:hAnsi="Bookman Old Style" w:cs="Arial"/>
          <w:b/>
        </w:rPr>
        <w:t>alidade para a Prática Esportiva</w:t>
      </w:r>
    </w:p>
    <w:p w:rsidR="00210180" w:rsidRPr="00210180" w:rsidRDefault="00210180" w:rsidP="00465895">
      <w:pPr>
        <w:ind w:firstLine="708"/>
        <w:jc w:val="both"/>
        <w:rPr>
          <w:rFonts w:ascii="Bookman Old Style" w:eastAsia="Arial" w:hAnsi="Bookman Old Style" w:cs="Arial"/>
        </w:rPr>
      </w:pPr>
      <w:r w:rsidRPr="00210180">
        <w:rPr>
          <w:rFonts w:ascii="Bookman Old Style" w:eastAsia="Arial" w:hAnsi="Bookman Old Style" w:cs="Arial"/>
        </w:rPr>
        <w:t>Um componente vital desta reforma é a substituição integral do sistema de iluminação da quadra principal e do campo externo por luminárias com tecnologia LED. Essa migração tecnológica é crucial para alcançar dois objetivos primários: eficiência energética e melhoria da qualidade luminosa. O LED proporciona uma redução substancial no consumo de energia elétrica, diminuindo os custos operacionais de manutenção e gestão do ginásio. Mais importante, o novo sistema de iluminação resultará em um fluxo luminoso mais potente e, crucialmente, homogêneo sobre as quadras. A uniformidade da iluminação é essencial para o desempenho dos atletas, eliminando sombras e pontos escuros que comprometem a visibilidade e a segurança, garantindo que as atividades e competições possam ser realizadas em conformidade com os padrões técnicos exigidos pelas modalidades esportivas.</w:t>
      </w:r>
    </w:p>
    <w:p w:rsidR="00C214D9" w:rsidRPr="00465895" w:rsidRDefault="00C214D9" w:rsidP="00C214D9">
      <w:pPr>
        <w:jc w:val="both"/>
        <w:rPr>
          <w:rFonts w:ascii="Bookman Old Style" w:eastAsia="Arial" w:hAnsi="Bookman Old Style" w:cs="Arial"/>
          <w:b/>
        </w:rPr>
      </w:pPr>
      <w:r w:rsidRPr="00C214D9">
        <w:rPr>
          <w:rFonts w:ascii="Bookman Old Style" w:eastAsia="Arial" w:hAnsi="Bookman Old Style" w:cs="Arial"/>
          <w:b/>
        </w:rPr>
        <w:t>Otimização do Layout Interno: Demolição da Cabine de Locução para Visibilidade Ampla</w:t>
      </w:r>
    </w:p>
    <w:p w:rsidR="00C214D9" w:rsidRPr="00804E44" w:rsidRDefault="00C214D9" w:rsidP="00465895">
      <w:pPr>
        <w:ind w:firstLine="708"/>
        <w:jc w:val="both"/>
        <w:rPr>
          <w:rFonts w:ascii="Bookman Old Style" w:eastAsia="Arial" w:hAnsi="Bookman Old Style" w:cs="Arial"/>
        </w:rPr>
      </w:pPr>
      <w:r w:rsidRPr="00804E44">
        <w:rPr>
          <w:rFonts w:ascii="Bookman Old Style" w:eastAsia="Arial" w:hAnsi="Bookman Old Style" w:cs="Arial"/>
        </w:rPr>
        <w:t xml:space="preserve">Para maximizar a funcionalidade e a experiência do público, o projeto prevê a demolição do espaço atualmente destinado à locução, transformando-o em uma área aberta e integrada às arquibancadas. Tal intervenção é imprescindível, visto que a estrutura atual da cabine atua como um obstáculo visual em diversos pontos, comprometendo a visão ampla e desimpedida da quadra para uma parcela significativa dos espectadores. Ao eliminar essa barreira física, será restabelecida a visibilidade panorâmica do campo de jogo, </w:t>
      </w:r>
      <w:r w:rsidRPr="00804E44">
        <w:rPr>
          <w:rFonts w:ascii="Bookman Old Style" w:eastAsia="Arial" w:hAnsi="Bookman Old Style" w:cs="Arial"/>
        </w:rPr>
        <w:lastRenderedPageBreak/>
        <w:t>fundamental para a fruição dos eventos e para a segurança do público e dos atletas. Esta medida visa, portanto, a otimização do layout interno, promovendo um ambiente mais aberto, inclusivo e com melhor aproveitamento do espaço físico disponível.</w:t>
      </w:r>
    </w:p>
    <w:p w:rsidR="00804E44" w:rsidRDefault="00804E44" w:rsidP="00804E44">
      <w:pPr>
        <w:jc w:val="both"/>
        <w:rPr>
          <w:rFonts w:ascii="Bookman Old Style" w:eastAsia="Arial" w:hAnsi="Bookman Old Style" w:cs="Arial"/>
        </w:rPr>
      </w:pPr>
      <w:r w:rsidRPr="00804E44">
        <w:rPr>
          <w:rFonts w:ascii="Bookman Old Style" w:eastAsia="Arial" w:hAnsi="Bookman Old Style" w:cs="Arial"/>
          <w:b/>
        </w:rPr>
        <w:t>Tratamento e Pintura da Estrutura Metálica: Combate à Oxidação e Garantia de Integridade</w:t>
      </w:r>
    </w:p>
    <w:p w:rsidR="00804E44" w:rsidRPr="00804E44" w:rsidRDefault="00804E44" w:rsidP="00465895">
      <w:pPr>
        <w:ind w:firstLine="708"/>
        <w:jc w:val="both"/>
        <w:rPr>
          <w:rFonts w:ascii="Bookman Old Style" w:eastAsia="Arial" w:hAnsi="Bookman Old Style" w:cs="Arial"/>
        </w:rPr>
      </w:pPr>
      <w:r w:rsidRPr="00804E44">
        <w:rPr>
          <w:rFonts w:ascii="Bookman Old Style" w:eastAsia="Arial" w:hAnsi="Bookman Old Style" w:cs="Arial"/>
        </w:rPr>
        <w:t xml:space="preserve">Uma das intervenções mais urgentes e fundamentais desta reforma é o tratamento e a pintura da estrutura metálica que suporta a cobertura e demais elementos do ginásio. A estrutura apresenta sinais visíveis de oxidação e corrosão, processos que, se não contidos, comprometem drasticamente a capacidade de carga e a integridade estrutural de todo o edifício. A </w:t>
      </w:r>
      <w:r>
        <w:rPr>
          <w:rFonts w:ascii="Bookman Old Style" w:eastAsia="Arial" w:hAnsi="Bookman Old Style" w:cs="Arial"/>
        </w:rPr>
        <w:t>reforma incluirá o jateamento e</w:t>
      </w:r>
      <w:r w:rsidRPr="00804E44">
        <w:rPr>
          <w:rFonts w:ascii="Bookman Old Style" w:eastAsia="Arial" w:hAnsi="Bookman Old Style" w:cs="Arial"/>
        </w:rPr>
        <w:t xml:space="preserve"> lixamento das superfícies afetadas, a aplicação de produtos anticorrosivos (primer) e a pintura final com material de alta durabilidade. Este procedimento é crucial para estender a vida útil do patrimônio, prevenir falhas estruturais de alto risco e assegurar a segurança plena de todos os usuários e do público frequentador.</w:t>
      </w:r>
    </w:p>
    <w:p w:rsidR="00804E44" w:rsidRDefault="00804E44" w:rsidP="00804E44">
      <w:pPr>
        <w:jc w:val="both"/>
        <w:rPr>
          <w:rFonts w:ascii="Bookman Old Style" w:eastAsia="Arial" w:hAnsi="Bookman Old Style" w:cs="Arial"/>
          <w:color w:val="FF0000"/>
        </w:rPr>
      </w:pPr>
      <w:r w:rsidRPr="00804E44">
        <w:rPr>
          <w:rFonts w:ascii="Bookman Old Style" w:eastAsia="Arial" w:hAnsi="Bookman Old Style" w:cs="Arial"/>
          <w:b/>
        </w:rPr>
        <w:t>Segurança e Durabilidade nos Banheiros Externos: Substituição de Esquadrias e Proteção Anti-Vandalismo</w:t>
      </w:r>
    </w:p>
    <w:p w:rsidR="00804E44" w:rsidRPr="00804E44" w:rsidRDefault="00804E44" w:rsidP="00465895">
      <w:pPr>
        <w:ind w:firstLine="708"/>
        <w:jc w:val="both"/>
        <w:rPr>
          <w:rFonts w:ascii="Bookman Old Style" w:eastAsia="Arial" w:hAnsi="Bookman Old Style" w:cs="Arial"/>
        </w:rPr>
      </w:pPr>
      <w:r w:rsidRPr="00804E44">
        <w:rPr>
          <w:rFonts w:ascii="Bookman Old Style" w:eastAsia="Arial" w:hAnsi="Bookman Old Style" w:cs="Arial"/>
        </w:rPr>
        <w:t>A reforma abrangerá a substituição das portas e janelas dos banheiros externos, visando restaurar sua funcionalidade e as condições sanitárias. As esquadrias existentes serão substituídas por materiais mais resistentes e duráveis, diminuindo a necessidade de manutenção frequente. Paralelamente, será realizada a instalação de gradis de</w:t>
      </w:r>
      <w:r w:rsidR="009267CB">
        <w:rPr>
          <w:rFonts w:ascii="Bookman Old Style" w:eastAsia="Arial" w:hAnsi="Bookman Old Style" w:cs="Arial"/>
        </w:rPr>
        <w:t xml:space="preserve"> proteção nas janelas e portas</w:t>
      </w:r>
      <w:r w:rsidRPr="00804E44">
        <w:rPr>
          <w:rFonts w:ascii="Bookman Old Style" w:eastAsia="Arial" w:hAnsi="Bookman Old Style" w:cs="Arial"/>
        </w:rPr>
        <w:t xml:space="preserve"> como medida essencial de segurança patrimonial. Esta instalação tem o objetivo primário de prevenir atos de vandalismo, depredação e furtos, garantindo que as instalações sanitárias permaneçam em perfeito estado de conservação e uso contínuo, reforçando o cuidado com o bem público e a experiência do usuário.</w:t>
      </w:r>
    </w:p>
    <w:p w:rsidR="007058B1" w:rsidRDefault="007058B1" w:rsidP="007058B1">
      <w:pPr>
        <w:jc w:val="both"/>
        <w:rPr>
          <w:rFonts w:ascii="Bookman Old Style" w:eastAsia="Arial" w:hAnsi="Bookman Old Style" w:cs="Arial"/>
          <w:b/>
        </w:rPr>
      </w:pPr>
      <w:r w:rsidRPr="007058B1">
        <w:rPr>
          <w:rFonts w:ascii="Bookman Old Style" w:eastAsia="Arial" w:hAnsi="Bookman Old Style" w:cs="Arial"/>
          <w:b/>
        </w:rPr>
        <w:t>Recuperação das Arquibancadas Externas: Tratamento de Fissuras, Drenagem e Segurança</w:t>
      </w:r>
    </w:p>
    <w:p w:rsidR="009267CB" w:rsidRPr="009267CB" w:rsidRDefault="009267CB" w:rsidP="009267CB">
      <w:pPr>
        <w:ind w:firstLine="708"/>
        <w:jc w:val="both"/>
        <w:rPr>
          <w:rFonts w:ascii="Bookman Old Style" w:eastAsia="Arial" w:hAnsi="Bookman Old Style" w:cs="Arial"/>
        </w:rPr>
      </w:pPr>
      <w:r w:rsidRPr="009267CB">
        <w:rPr>
          <w:rFonts w:ascii="Bookman Old Style" w:eastAsia="Arial" w:hAnsi="Bookman Old Style" w:cs="Arial"/>
        </w:rPr>
        <w:t>A degradação estrutural observada nas arquibancadas externas, manifestada por desgaste acentuado e proliferação de fissuras, exige intervenção imediata para garantir a segurança do público. A reforma incluirá um processo rigoroso de recuperação: as áreas danificadas serão corrigidas com a aplicação de um chapisco colante e, subsequentemente, uma camada de reboco. Esta aplicação será executada de forma a criar uma caída estratégica para o escoamento da água da chuva, prevenindo o acúmulo superficial e a infiltração. Finalizando o processo, a pintura das arquibancadas não apenas restaurará a estética do espaço, mas também adicionará uma camada de proteção contra a penetração de umidade. Em conjunto, essas ações são vitais para a longevidade da estrutura, a segurança dos espectadores e a eliminação de problemas de drenagem.</w:t>
      </w:r>
    </w:p>
    <w:p w:rsidR="0028153C" w:rsidRDefault="0028153C" w:rsidP="0028153C">
      <w:pPr>
        <w:jc w:val="both"/>
        <w:rPr>
          <w:rFonts w:ascii="Bookman Old Style" w:eastAsia="Arial" w:hAnsi="Bookman Old Style" w:cs="Arial"/>
        </w:rPr>
      </w:pPr>
      <w:r w:rsidRPr="0028153C">
        <w:rPr>
          <w:rFonts w:ascii="Bookman Old Style" w:eastAsia="Arial" w:hAnsi="Bookman Old Style" w:cs="Arial"/>
          <w:b/>
        </w:rPr>
        <w:t>Instalação de Assentos Ergonômicos: Conforto, Otimização de Espaço e Modernidade</w:t>
      </w:r>
    </w:p>
    <w:p w:rsidR="0028153C" w:rsidRPr="0028153C" w:rsidRDefault="0028153C" w:rsidP="00465895">
      <w:pPr>
        <w:ind w:firstLine="708"/>
        <w:jc w:val="both"/>
        <w:rPr>
          <w:rFonts w:ascii="Bookman Old Style" w:eastAsia="Arial" w:hAnsi="Bookman Old Style" w:cs="Arial"/>
        </w:rPr>
      </w:pPr>
      <w:r>
        <w:rPr>
          <w:rFonts w:ascii="Bookman Old Style" w:eastAsia="Arial" w:hAnsi="Bookman Old Style" w:cs="Arial"/>
        </w:rPr>
        <w:lastRenderedPageBreak/>
        <w:t>O</w:t>
      </w:r>
      <w:r w:rsidRPr="0028153C">
        <w:rPr>
          <w:rFonts w:ascii="Bookman Old Style" w:eastAsia="Arial" w:hAnsi="Bookman Old Style" w:cs="Arial"/>
        </w:rPr>
        <w:t xml:space="preserve"> projeto prevê a instalação de cadeiras plásticas com assento rebatível e encosto anatômico. Esta modernização visa elevar significativamente o nível de conforto oferecido ao público, transformando a experiência de assistir a eventos no ginásio. O design com encosto anatômico proporciona melhor ergonomia para os usuários, enquanto o mecanismo de assento rebatível é essencial para otimizar o espaço de circulação e facilitar o fluxo de pessoas nas escadas e corredores de acesso. A escolha por material plástico de alta resistência garante a durabilidade dos assentos e a baixa necessidade de manutenção, conferindo um padrão de acabamento moderno e adequado a um equipamento esportivo de alto nível.</w:t>
      </w:r>
    </w:p>
    <w:p w:rsidR="00465895" w:rsidRPr="00C7295C" w:rsidRDefault="00C7295C" w:rsidP="00465895">
      <w:pPr>
        <w:jc w:val="both"/>
        <w:rPr>
          <w:rFonts w:ascii="Bookman Old Style" w:eastAsia="Arial" w:hAnsi="Bookman Old Style" w:cs="Arial"/>
          <w:b/>
        </w:rPr>
      </w:pPr>
      <w:r w:rsidRPr="00C7295C">
        <w:rPr>
          <w:rFonts w:ascii="Bookman Old Style" w:eastAsia="Arial" w:hAnsi="Bookman Old Style" w:cs="Arial"/>
          <w:b/>
        </w:rPr>
        <w:t>Conclusão: Valor Estratégico da Reforma para a Comunidade e o Patrimônio</w:t>
      </w:r>
    </w:p>
    <w:p w:rsidR="00465895" w:rsidRPr="00C7295C" w:rsidRDefault="00C7295C" w:rsidP="00465895">
      <w:pPr>
        <w:ind w:firstLine="360"/>
        <w:jc w:val="both"/>
        <w:rPr>
          <w:rFonts w:ascii="Bookman Old Style" w:eastAsia="Arial" w:hAnsi="Bookman Old Style" w:cs="Arial"/>
        </w:rPr>
      </w:pPr>
      <w:r w:rsidRPr="00C7295C">
        <w:rPr>
          <w:rFonts w:ascii="Bookman Old Style" w:eastAsia="Arial" w:hAnsi="Bookman Old Style" w:cs="Arial"/>
        </w:rPr>
        <w:t>Portanto, a reforma abrangente do ginásio poliesportivo, que engloba o tratamento da estrutura metálica, a recuperação das arquibancadas com instalação de assentos modernos, a modernização da iluminação para tecnologia LED e a adequação dos acessos, configura-se como uma ação estratégica e de valor social inestimável. Esses investimentos garantem a integridade e a longevidade do patrimônio público, ao mesmo tempo em que promovem um ambiente notavelmente mais seguro, funcional e acessível para a prática esportiva e para o público. A otimização da infraestrutura, através da melhoria da visibilidade, da eficiência energética e do combate ao vandalismo, resultará na elevação da qualidade dos eventos sediados e na redução de custos futuros com manutenção corretiva, consolidando o ginásio como um polo esportivo de referência para toda a comunidade</w:t>
      </w:r>
      <w:r w:rsidR="00465895" w:rsidRPr="00C7295C">
        <w:rPr>
          <w:rFonts w:ascii="Bookman Old Style" w:eastAsia="Arial" w:hAnsi="Bookman Old Style" w:cs="Arial"/>
        </w:rPr>
        <w:t>.</w:t>
      </w:r>
    </w:p>
    <w:p w:rsidR="00465895" w:rsidRPr="0028153C" w:rsidRDefault="00465895" w:rsidP="00465895">
      <w:pPr>
        <w:ind w:firstLine="360"/>
        <w:jc w:val="both"/>
        <w:rPr>
          <w:rFonts w:ascii="Bookman Old Style" w:eastAsia="Arial" w:hAnsi="Bookman Old Style" w:cs="Arial"/>
        </w:rPr>
      </w:pPr>
      <w:r w:rsidRPr="0028153C">
        <w:rPr>
          <w:rFonts w:ascii="Bookman Old Style" w:eastAsia="Arial" w:hAnsi="Bookman Old Style" w:cs="Arial"/>
        </w:rPr>
        <w:t>A execução dos serviços dev</w:t>
      </w:r>
      <w:r w:rsidR="0028153C" w:rsidRPr="0028153C">
        <w:rPr>
          <w:rFonts w:ascii="Bookman Old Style" w:eastAsia="Arial" w:hAnsi="Bookman Old Style" w:cs="Arial"/>
        </w:rPr>
        <w:t>erá ocorrer no prazo máximo de 15</w:t>
      </w:r>
      <w:r w:rsidRPr="0028153C">
        <w:rPr>
          <w:rFonts w:ascii="Bookman Old Style" w:eastAsia="Arial" w:hAnsi="Bookman Old Style" w:cs="Arial"/>
        </w:rPr>
        <w:t xml:space="preserve">0 dias e </w:t>
      </w:r>
      <w:r w:rsidR="0028153C" w:rsidRPr="0028153C">
        <w:rPr>
          <w:rFonts w:ascii="Bookman Old Style" w:eastAsia="Arial" w:hAnsi="Bookman Old Style" w:cs="Arial"/>
        </w:rPr>
        <w:t>18</w:t>
      </w:r>
      <w:r w:rsidRPr="0028153C">
        <w:rPr>
          <w:rFonts w:ascii="Bookman Old Style" w:eastAsia="Arial" w:hAnsi="Bookman Old Style" w:cs="Arial"/>
        </w:rPr>
        <w:t>0</w:t>
      </w:r>
      <w:r w:rsidR="0028153C" w:rsidRPr="0028153C">
        <w:rPr>
          <w:rFonts w:ascii="Bookman Old Style" w:eastAsia="Arial" w:hAnsi="Bookman Old Style" w:cs="Arial"/>
        </w:rPr>
        <w:t xml:space="preserve"> dias de vigência.</w:t>
      </w:r>
    </w:p>
    <w:p w:rsidR="005947D2" w:rsidRPr="0018215E" w:rsidRDefault="005947D2">
      <w:pPr>
        <w:jc w:val="both"/>
        <w:rPr>
          <w:rFonts w:ascii="Times New Roman" w:hAnsi="Times New Roman" w:cs="Times New Roman"/>
        </w:rPr>
      </w:pPr>
      <w:r w:rsidRPr="0018215E">
        <w:rPr>
          <w:rFonts w:ascii="Times New Roman" w:hAnsi="Times New Roman" w:cs="Times New Roman"/>
          <w:b/>
          <w:u w:val="single"/>
        </w:rPr>
        <w:t>SEÇÃO 2 – DA DEMONSTRAÇÃO DA PREVISÃO DA CONTRATAÇÃO NO PLANO DE CONTRATAÇÃO ANUAL (PCA).</w:t>
      </w:r>
      <w:r w:rsidR="00B053A5" w:rsidRPr="0018215E">
        <w:rPr>
          <w:rFonts w:ascii="Times New Roman" w:hAnsi="Times New Roman" w:cs="Times New Roman"/>
        </w:rPr>
        <w:t xml:space="preserve">  (inciso IX do Art. 59 do Decreto nº 3.927/2023 e inciso II do §1º do Art. 18 da Lei nº 14.133/2021).</w:t>
      </w:r>
    </w:p>
    <w:p w:rsidR="005947D2" w:rsidRPr="0018215E" w:rsidRDefault="00185EB9" w:rsidP="005947D2">
      <w:pPr>
        <w:jc w:val="both"/>
        <w:rPr>
          <w:rFonts w:ascii="Times New Roman" w:hAnsi="Times New Roman" w:cs="Times New Roman"/>
          <w:b/>
        </w:rPr>
      </w:pPr>
      <w:r w:rsidRPr="0018215E">
        <w:rPr>
          <w:rFonts w:ascii="Times New Roman" w:hAnsi="Times New Roman" w:cs="Times New Roman"/>
          <w:b/>
        </w:rPr>
        <w:t xml:space="preserve">2.1 </w:t>
      </w:r>
      <w:r w:rsidR="005947D2" w:rsidRPr="0018215E">
        <w:rPr>
          <w:rFonts w:ascii="Times New Roman" w:hAnsi="Times New Roman" w:cs="Times New Roman"/>
          <w:b/>
        </w:rPr>
        <w:t>Previsão no Plano de Contratações Anual:</w:t>
      </w:r>
    </w:p>
    <w:p w:rsidR="009B365C" w:rsidRDefault="00D91004" w:rsidP="0095566F">
      <w:pPr>
        <w:pStyle w:val="NormalWeb"/>
        <w:shd w:val="clear" w:color="auto" w:fill="FFFFFF"/>
        <w:spacing w:after="0"/>
        <w:jc w:val="both"/>
        <w:textAlignment w:val="baseline"/>
        <w:rPr>
          <w:rFonts w:ascii="Bookman Old Style" w:eastAsia="Arial" w:hAnsi="Bookman Old Style" w:cs="Arial"/>
          <w:color w:val="000000"/>
        </w:rPr>
      </w:pPr>
      <w:r>
        <w:rPr>
          <w:sz w:val="22"/>
          <w:szCs w:val="22"/>
        </w:rPr>
        <w:t xml:space="preserve">       </w:t>
      </w:r>
      <w:r w:rsidR="0095566F" w:rsidRPr="0095566F">
        <w:rPr>
          <w:sz w:val="22"/>
          <w:szCs w:val="22"/>
        </w:rPr>
        <w:t>Embora a presente intervenção não esteja inicialmente prevista no Plano Anual de Contratações (PAC) vigente, a reforma do ginásio poliesportivo é classificada como imprescindível e urgente. A importância estratégica desta obra reside no seu impacto direto no desenvolvimento esportivo e social e, fundamentalmente, na segurança estrutural e operacional do equipamento. O conjunto de intervenções, que inclui a recuperação da cobertura, a modernização da iluminação e o tratamento das fissuras nas arquibancadas, é uma ação que traz benefícios diretos para a segurança dos usuários, a eficiência energética e a preservação do patrimônio. Dada a natureza crítica dessas necessidades, o objeto desta contratação será devidamente inserido no Plano Anual de Contratações na próxima revisão, garantindo a conformidade e o prosseguimento célere do processo licitatório.</w:t>
      </w:r>
    </w:p>
    <w:p w:rsidR="003B01C9" w:rsidRDefault="003B01C9" w:rsidP="009B365C">
      <w:pPr>
        <w:pStyle w:val="NormalWeb"/>
        <w:shd w:val="clear" w:color="auto" w:fill="FFFFFF"/>
        <w:spacing w:after="0"/>
        <w:jc w:val="both"/>
        <w:textAlignment w:val="baseline"/>
        <w:rPr>
          <w:rFonts w:ascii="Bookman Old Style" w:eastAsia="Arial" w:hAnsi="Bookman Old Style" w:cs="Arial"/>
          <w:color w:val="000000"/>
        </w:rPr>
      </w:pPr>
    </w:p>
    <w:p w:rsidR="002F5C23" w:rsidRPr="00C504E9" w:rsidRDefault="00602C4D" w:rsidP="00C92FCA">
      <w:pPr>
        <w:pStyle w:val="NormalWeb"/>
        <w:jc w:val="both"/>
      </w:pPr>
      <w:r w:rsidRPr="00C504E9">
        <w:rPr>
          <w:b/>
          <w:u w:val="single"/>
        </w:rPr>
        <w:lastRenderedPageBreak/>
        <w:t xml:space="preserve">SEÇÃO 3 </w:t>
      </w:r>
      <w:r w:rsidR="00B32C6F" w:rsidRPr="00C504E9">
        <w:rPr>
          <w:b/>
          <w:u w:val="single"/>
        </w:rPr>
        <w:t>- DESCRIÇÃO DOS REQUISITOS DA CONTRATAÇÃO NECESSÁRIAS E SUFICIENTES À ESCOLHA DA SOLUÇÃO</w:t>
      </w:r>
      <w:r w:rsidR="00B52566" w:rsidRPr="00C504E9">
        <w:t xml:space="preserve"> </w:t>
      </w:r>
      <w:r w:rsidR="00B053A5" w:rsidRPr="00C504E9">
        <w:t>(inciso II do Art. 59 do Decreto nº 3.927/2023, e inciso III do §1º do Art. 18 da Lei nº 14.133/2021).</w:t>
      </w:r>
    </w:p>
    <w:p w:rsidR="00402178" w:rsidRPr="00264E4F" w:rsidRDefault="00402178" w:rsidP="00402178">
      <w:pPr>
        <w:jc w:val="both"/>
        <w:rPr>
          <w:rFonts w:ascii="Bookman Old Style" w:eastAsia="Arial" w:hAnsi="Bookman Old Style" w:cs="Arial"/>
          <w:color w:val="000000"/>
        </w:rPr>
      </w:pPr>
      <w:r>
        <w:rPr>
          <w:rFonts w:ascii="Bookman Old Style" w:eastAsia="Arial" w:hAnsi="Bookman Old Style" w:cs="Arial"/>
          <w:color w:val="000000"/>
        </w:rPr>
        <w:t xml:space="preserve"> 3.1 </w:t>
      </w:r>
      <w:r w:rsidRPr="00264E4F">
        <w:rPr>
          <w:rFonts w:ascii="Bookman Old Style" w:eastAsia="Arial" w:hAnsi="Bookman Old Style" w:cs="Arial"/>
          <w:color w:val="000000"/>
        </w:rPr>
        <w:t xml:space="preserve">O objeto a ser licitado é considerado  obra de engenharia, conforme  (ex: </w:t>
      </w:r>
      <w:hyperlink r:id="rId8">
        <w:r w:rsidRPr="00264E4F">
          <w:rPr>
            <w:rFonts w:ascii="Bookman Old Style" w:eastAsia="Arial" w:hAnsi="Bookman Old Style" w:cs="Arial"/>
            <w:color w:val="000000"/>
          </w:rPr>
          <w:t>Resolução Nº 25/2011 do Tribunal de Contas do Estado do Paraná</w:t>
        </w:r>
      </w:hyperlink>
      <w:r w:rsidRPr="00264E4F">
        <w:rPr>
          <w:rFonts w:ascii="Bookman Old Style" w:eastAsia="Arial" w:hAnsi="Bookman Old Style" w:cs="Arial"/>
          <w:color w:val="000000"/>
        </w:rPr>
        <w:t xml:space="preserve"> que dispõe sobre os conceitos de obra e de serviço de engenharia e dá outras providências tendo como Anexo I a Orientação Técnica do IBRAOP OT – IBR 002/2009 (Instituto Brasileiro de Auditoria de Obras Públicas), em seu item 3 define “Obra de engenharia é a ação de construir, reformar, fabricar, recuperar ou ampliar um bem, na qual seja necessária a utilização de conhecimentos técnicos específicos envolvendo a participação de profissionais habilitados conforme o disposto na Lei Federal nº 5.194/66.” </w:t>
      </w:r>
    </w:p>
    <w:p w:rsidR="00402178" w:rsidRPr="00264E4F" w:rsidRDefault="00402178" w:rsidP="00402178">
      <w:pPr>
        <w:ind w:firstLine="284"/>
        <w:jc w:val="both"/>
        <w:rPr>
          <w:rFonts w:ascii="Bookman Old Style" w:eastAsia="Arial" w:hAnsi="Bookman Old Style" w:cs="Arial"/>
          <w:color w:val="000000"/>
        </w:rPr>
      </w:pPr>
      <w:r w:rsidRPr="00264E4F">
        <w:rPr>
          <w:rFonts w:ascii="Bookman Old Style" w:eastAsia="Arial" w:hAnsi="Bookman Old Style" w:cs="Arial"/>
        </w:rPr>
        <w:t xml:space="preserve">O objeto licitado possui atividades </w:t>
      </w:r>
      <w:r w:rsidRPr="00264E4F">
        <w:rPr>
          <w:rFonts w:ascii="Bookman Old Style" w:eastAsia="Arial" w:hAnsi="Bookman Old Style" w:cs="Arial"/>
          <w:color w:val="000000"/>
        </w:rPr>
        <w:t xml:space="preserve">privativas aos engenheiros e/ou arquitetos.  </w:t>
      </w:r>
    </w:p>
    <w:p w:rsidR="00402178" w:rsidRPr="00264E4F" w:rsidRDefault="00402178" w:rsidP="00402178">
      <w:pPr>
        <w:ind w:firstLine="284"/>
        <w:jc w:val="both"/>
        <w:rPr>
          <w:rFonts w:ascii="Bookman Old Style" w:eastAsia="Arial" w:hAnsi="Bookman Old Style" w:cs="Arial"/>
          <w:color w:val="000000"/>
        </w:rPr>
      </w:pPr>
      <w:r w:rsidRPr="00264E4F">
        <w:rPr>
          <w:rFonts w:ascii="Bookman Old Style" w:eastAsia="Arial" w:hAnsi="Bookman Old Style" w:cs="Arial"/>
          <w:color w:val="000000"/>
        </w:rPr>
        <w:t xml:space="preserve">Isto posto, para </w:t>
      </w:r>
      <w:r w:rsidRPr="00264E4F">
        <w:rPr>
          <w:rFonts w:ascii="Bookman Old Style" w:eastAsia="Arial" w:hAnsi="Bookman Old Style" w:cs="Arial"/>
          <w:b/>
          <w:color w:val="000000"/>
        </w:rPr>
        <w:t>habilitação</w:t>
      </w:r>
      <w:r w:rsidRPr="00264E4F">
        <w:rPr>
          <w:rFonts w:ascii="Bookman Old Style" w:eastAsia="Arial" w:hAnsi="Bookman Old Style" w:cs="Arial"/>
          <w:color w:val="000000"/>
        </w:rPr>
        <w:t>, além da documentação jurídica, fiscal e trabalhista, conforme preconizadas nos artigos 67 e 68 da Lei 14.133/21, também será necessária</w:t>
      </w:r>
      <w:r w:rsidRPr="00264E4F">
        <w:rPr>
          <w:rFonts w:ascii="Bookman Old Style" w:eastAsia="Arial" w:hAnsi="Bookman Old Style" w:cs="Arial"/>
          <w:b/>
          <w:color w:val="000000"/>
        </w:rPr>
        <w:t xml:space="preserve"> </w:t>
      </w:r>
      <w:r w:rsidRPr="00264E4F">
        <w:rPr>
          <w:rFonts w:ascii="Bookman Old Style" w:eastAsia="Arial" w:hAnsi="Bookman Old Style" w:cs="Arial"/>
          <w:color w:val="000000"/>
        </w:rPr>
        <w:t xml:space="preserve">comprovação relativa à </w:t>
      </w:r>
      <w:r w:rsidRPr="00264E4F">
        <w:rPr>
          <w:rFonts w:ascii="Bookman Old Style" w:eastAsia="Arial" w:hAnsi="Bookman Old Style" w:cs="Arial"/>
          <w:b/>
          <w:color w:val="000000"/>
          <w:u w:val="single"/>
        </w:rPr>
        <w:t>qualificação técnico-profissional e técnico-operacional</w:t>
      </w:r>
      <w:r w:rsidRPr="00264E4F">
        <w:rPr>
          <w:rFonts w:ascii="Bookman Old Style" w:eastAsia="Arial" w:hAnsi="Bookman Old Style" w:cs="Arial"/>
          <w:b/>
          <w:color w:val="000000"/>
        </w:rPr>
        <w:t xml:space="preserve">. </w:t>
      </w:r>
      <w:r w:rsidRPr="00264E4F">
        <w:rPr>
          <w:rFonts w:ascii="Bookman Old Style" w:eastAsia="Arial" w:hAnsi="Bookman Old Style" w:cs="Arial"/>
          <w:color w:val="000000"/>
        </w:rPr>
        <w:t>Assim, os licitantes deverão apresentar os seguintes documentos</w:t>
      </w:r>
      <w:r w:rsidRPr="00264E4F">
        <w:rPr>
          <w:rFonts w:ascii="Bookman Old Style" w:eastAsia="Arial" w:hAnsi="Bookman Old Style" w:cs="Arial"/>
          <w:b/>
          <w:color w:val="000000"/>
        </w:rPr>
        <w:t>:</w:t>
      </w:r>
      <w:r w:rsidRPr="00264E4F">
        <w:rPr>
          <w:rFonts w:ascii="Bookman Old Style" w:eastAsia="Arial" w:hAnsi="Bookman Old Style" w:cs="Arial"/>
          <w:color w:val="000000"/>
        </w:rPr>
        <w:t xml:space="preserve"> </w:t>
      </w:r>
    </w:p>
    <w:p w:rsidR="00402178" w:rsidRPr="00264E4F" w:rsidRDefault="00402178" w:rsidP="00402178">
      <w:pPr>
        <w:ind w:firstLine="284"/>
        <w:jc w:val="both"/>
        <w:rPr>
          <w:rFonts w:ascii="Bookman Old Style" w:eastAsia="Arial" w:hAnsi="Bookman Old Style" w:cs="Arial"/>
          <w:color w:val="000000"/>
        </w:rPr>
      </w:pPr>
    </w:p>
    <w:p w:rsidR="00402178" w:rsidRDefault="00402178" w:rsidP="00713311">
      <w:pPr>
        <w:pStyle w:val="Nivel4"/>
        <w:numPr>
          <w:ilvl w:val="0"/>
          <w:numId w:val="11"/>
        </w:numPr>
        <w:rPr>
          <w:rFonts w:ascii="Bookman Old Style" w:eastAsia="Times New Roman" w:hAnsi="Bookman Old Style" w:cs="Times New Roman"/>
          <w:color w:val="000000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color w:val="000000"/>
          <w:sz w:val="24"/>
          <w:szCs w:val="24"/>
        </w:rPr>
        <w:t>Certidão de Registro de Pessoa Jurídica com a regularidade do licitante junto ao Conselho Regional de Engenharia e Agronomia – CREA e/ou Conselho de Arquitetura e Urbanismo – CAU, dentro de seu prazo de validade e com jurisdição na sua sede.</w:t>
      </w:r>
    </w:p>
    <w:p w:rsidR="00713311" w:rsidRPr="00264E4F" w:rsidRDefault="00713311" w:rsidP="00713311">
      <w:pPr>
        <w:pStyle w:val="Nivel4"/>
        <w:numPr>
          <w:ilvl w:val="0"/>
          <w:numId w:val="0"/>
        </w:numPr>
        <w:ind w:left="1211"/>
        <w:rPr>
          <w:rFonts w:ascii="Bookman Old Style" w:eastAsia="Times New Roman" w:hAnsi="Bookman Old Style" w:cs="Times New Roman"/>
          <w:color w:val="000000"/>
          <w:sz w:val="24"/>
          <w:szCs w:val="24"/>
        </w:rPr>
      </w:pPr>
    </w:p>
    <w:p w:rsidR="00402178" w:rsidRPr="00264E4F" w:rsidRDefault="00402178" w:rsidP="00402178">
      <w:pPr>
        <w:pStyle w:val="Nivel4"/>
        <w:numPr>
          <w:ilvl w:val="0"/>
          <w:numId w:val="0"/>
        </w:numPr>
        <w:ind w:left="851"/>
        <w:rPr>
          <w:rFonts w:ascii="Bookman Old Style" w:eastAsia="Times New Roman" w:hAnsi="Bookman Old Style" w:cs="Times New Roman"/>
          <w:color w:val="000000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color w:val="000000"/>
          <w:sz w:val="24"/>
          <w:szCs w:val="24"/>
        </w:rPr>
        <w:t>a.1) Em se tratando de empresa de engenharia não registrada no CREA do Estado do Paraná deverá apresentar o registro do CREA do Estado de origem, ficando a licitante vencedora obrigada a apresentar o visto do CREA do Paraná antes da</w:t>
      </w:r>
      <w:r>
        <w:rPr>
          <w:rFonts w:ascii="Bookman Old Style" w:eastAsia="Times New Roman" w:hAnsi="Bookman Old Style" w:cs="Times New Roman"/>
          <w:color w:val="000000"/>
          <w:sz w:val="24"/>
          <w:szCs w:val="24"/>
        </w:rPr>
        <w:t xml:space="preserve"> </w:t>
      </w:r>
      <w:r w:rsidRPr="00264E4F">
        <w:rPr>
          <w:rFonts w:ascii="Bookman Old Style" w:eastAsia="Times New Roman" w:hAnsi="Bookman Old Style" w:cs="Times New Roman"/>
          <w:color w:val="000000"/>
          <w:sz w:val="24"/>
          <w:szCs w:val="24"/>
        </w:rPr>
        <w:t>assinatura do contrato.</w:t>
      </w:r>
    </w:p>
    <w:p w:rsidR="00402178" w:rsidRPr="00264E4F" w:rsidRDefault="00402178" w:rsidP="00402178">
      <w:pPr>
        <w:pStyle w:val="Nivel4"/>
        <w:numPr>
          <w:ilvl w:val="0"/>
          <w:numId w:val="0"/>
        </w:numPr>
        <w:ind w:left="851"/>
        <w:rPr>
          <w:rFonts w:ascii="Bookman Old Style" w:eastAsia="Times New Roman" w:hAnsi="Bookman Old Style" w:cs="Times New Roman"/>
          <w:color w:val="000000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color w:val="000000"/>
          <w:sz w:val="24"/>
          <w:szCs w:val="24"/>
        </w:rPr>
        <w:t>b) Comprovação de possuir em nome da empresa, atestado fornecido por pessoa jurídica de direito público ou privado, de responsabilidade técnica com comprovação de descrição do objeto e quantidade mínima, nos termos dos artigos 67 e seguintes da Lei 14.133/2021, sendo permitido o somatório de atestados:</w:t>
      </w:r>
    </w:p>
    <w:tbl>
      <w:tblPr>
        <w:tblW w:w="6971" w:type="dxa"/>
        <w:tblInd w:w="76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195"/>
        <w:gridCol w:w="2776"/>
      </w:tblGrid>
      <w:tr w:rsidR="00402178" w:rsidRPr="00E466EB" w:rsidTr="007F3783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78" w:rsidRPr="00E466EB" w:rsidRDefault="00402178" w:rsidP="007F3783">
            <w:pPr>
              <w:rPr>
                <w:rFonts w:ascii="Bookman Old Style" w:hAnsi="Bookman Old Style"/>
              </w:rPr>
            </w:pPr>
            <w:r w:rsidRPr="00264E4F">
              <w:rPr>
                <w:rFonts w:ascii="Bookman Old Style" w:hAnsi="Bookman Old Style"/>
                <w:b/>
                <w:bCs/>
                <w:color w:val="000000"/>
              </w:rPr>
              <w:t xml:space="preserve">DESCRIÇÃO OBJETO 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78" w:rsidRPr="00E466EB" w:rsidRDefault="00402178" w:rsidP="007F3783">
            <w:pPr>
              <w:rPr>
                <w:rFonts w:ascii="Bookman Old Style" w:hAnsi="Bookman Old Style"/>
              </w:rPr>
            </w:pPr>
            <w:r w:rsidRPr="00264E4F">
              <w:rPr>
                <w:rFonts w:ascii="Bookman Old Style" w:hAnsi="Bookman Old Style"/>
                <w:b/>
                <w:bCs/>
                <w:color w:val="000000"/>
              </w:rPr>
              <w:t>QUANTIDADE MÍNIMA</w:t>
            </w:r>
          </w:p>
        </w:tc>
      </w:tr>
      <w:tr w:rsidR="00402178" w:rsidRPr="00E466EB" w:rsidTr="007F3783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78" w:rsidRPr="00D93F8B" w:rsidRDefault="00B44160" w:rsidP="00423861">
            <w:pPr>
              <w:rPr>
                <w:rFonts w:ascii="Bookman Old Style" w:hAnsi="Bookman Old Style"/>
              </w:rPr>
            </w:pPr>
            <w:r w:rsidRPr="00D93F8B">
              <w:rPr>
                <w:rFonts w:ascii="Bookman Old Style" w:eastAsia="Arial" w:hAnsi="Bookman Old Style" w:cs="Arial"/>
              </w:rPr>
              <w:lastRenderedPageBreak/>
              <w:t>Pintura externa</w:t>
            </w:r>
            <w:r w:rsidR="00423861" w:rsidRPr="00D93F8B">
              <w:rPr>
                <w:rFonts w:ascii="Bookman Old Style" w:eastAsia="Arial" w:hAnsi="Bookman Old Style" w:cs="Arial"/>
              </w:rPr>
              <w:t xml:space="preserve"> de fachadas</w:t>
            </w:r>
            <w:r w:rsidR="00D93F8B" w:rsidRPr="00D93F8B">
              <w:rPr>
                <w:rFonts w:ascii="Bookman Old Style" w:eastAsia="Arial" w:hAnsi="Bookman Old Style" w:cs="Arial"/>
              </w:rPr>
              <w:t xml:space="preserve"> de edificação</w:t>
            </w:r>
            <w:r w:rsidR="00423861" w:rsidRPr="00D93F8B">
              <w:rPr>
                <w:rFonts w:ascii="Bookman Old Style" w:eastAsia="Arial" w:hAnsi="Bookman Old Style" w:cs="Arial"/>
              </w:rPr>
              <w:t xml:space="preserve"> com área de 1595,32m².</w:t>
            </w:r>
            <w:r w:rsidRPr="00D93F8B">
              <w:rPr>
                <w:rFonts w:ascii="Bookman Old Style" w:eastAsia="Arial" w:hAnsi="Bookman Old Style" w:cs="Arial"/>
              </w:rPr>
              <w:t xml:space="preserve"> </w:t>
            </w:r>
          </w:p>
        </w:tc>
        <w:tc>
          <w:tcPr>
            <w:tcW w:w="2776" w:type="dxa"/>
            <w:vAlign w:val="center"/>
            <w:hideMark/>
          </w:tcPr>
          <w:p w:rsidR="00402178" w:rsidRPr="00D93F8B" w:rsidRDefault="00402178" w:rsidP="007F3783">
            <w:pPr>
              <w:rPr>
                <w:rStyle w:val="fontstyle01"/>
                <w:rFonts w:ascii="Bookman Old Style" w:hAnsi="Bookman Old Style"/>
                <w:b/>
                <w:color w:val="auto"/>
              </w:rPr>
            </w:pPr>
          </w:p>
          <w:p w:rsidR="002A6DA3" w:rsidRPr="00D93F8B" w:rsidRDefault="00423861" w:rsidP="007F3783">
            <w:pPr>
              <w:rPr>
                <w:rFonts w:ascii="Bookman Old Style" w:hAnsi="Bookman Old Style"/>
                <w:b/>
              </w:rPr>
            </w:pPr>
            <w:r w:rsidRPr="00D93F8B">
              <w:rPr>
                <w:rFonts w:ascii="Bookman Old Style" w:hAnsi="Bookman Old Style"/>
                <w:b/>
              </w:rPr>
              <w:t>797,66</w:t>
            </w:r>
            <w:r w:rsidR="002A6DA3" w:rsidRPr="00D93F8B">
              <w:rPr>
                <w:rFonts w:ascii="Bookman Old Style" w:hAnsi="Bookman Old Style"/>
                <w:b/>
              </w:rPr>
              <w:t xml:space="preserve"> </w:t>
            </w:r>
            <w:r w:rsidRPr="00D93F8B">
              <w:rPr>
                <w:rFonts w:ascii="Bookman Old Style" w:hAnsi="Bookman Old Style"/>
                <w:b/>
              </w:rPr>
              <w:t>m²</w:t>
            </w:r>
          </w:p>
          <w:p w:rsidR="00402178" w:rsidRPr="00D93F8B" w:rsidRDefault="00402178" w:rsidP="007F3783">
            <w:pPr>
              <w:rPr>
                <w:rFonts w:ascii="Bookman Old Style" w:hAnsi="Bookman Old Style"/>
                <w:b/>
              </w:rPr>
            </w:pPr>
          </w:p>
        </w:tc>
      </w:tr>
      <w:tr w:rsidR="00423861" w:rsidRPr="00E466EB" w:rsidTr="007F3783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861" w:rsidRPr="00D93F8B" w:rsidRDefault="00423861" w:rsidP="00D93F8B">
            <w:pPr>
              <w:rPr>
                <w:rFonts w:ascii="Bookman Old Style" w:eastAsia="Arial" w:hAnsi="Bookman Old Style" w:cs="Arial"/>
              </w:rPr>
            </w:pPr>
            <w:r w:rsidRPr="00D93F8B">
              <w:rPr>
                <w:rFonts w:ascii="Bookman Old Style" w:eastAsia="Arial" w:hAnsi="Bookman Old Style" w:cs="Arial"/>
              </w:rPr>
              <w:t xml:space="preserve">Demolição de edificação </w:t>
            </w:r>
            <w:r w:rsidR="00D93F8B" w:rsidRPr="00D93F8B">
              <w:rPr>
                <w:rFonts w:ascii="Bookman Old Style" w:eastAsia="Arial" w:hAnsi="Bookman Old Style" w:cs="Arial"/>
              </w:rPr>
              <w:t xml:space="preserve">de </w:t>
            </w:r>
            <w:r w:rsidRPr="00D93F8B">
              <w:rPr>
                <w:rFonts w:ascii="Bookman Old Style" w:eastAsia="Arial" w:hAnsi="Bookman Old Style" w:cs="Arial"/>
              </w:rPr>
              <w:t>concreto armado com área total de 25,2m².</w:t>
            </w:r>
          </w:p>
        </w:tc>
        <w:tc>
          <w:tcPr>
            <w:tcW w:w="2776" w:type="dxa"/>
            <w:vAlign w:val="center"/>
          </w:tcPr>
          <w:p w:rsidR="00423861" w:rsidRPr="00D93F8B" w:rsidRDefault="00423861" w:rsidP="00423861">
            <w:pPr>
              <w:rPr>
                <w:rFonts w:ascii="Bookman Old Style" w:hAnsi="Bookman Old Style"/>
                <w:b/>
              </w:rPr>
            </w:pPr>
            <w:r w:rsidRPr="00D93F8B">
              <w:rPr>
                <w:rFonts w:ascii="Bookman Old Style" w:hAnsi="Bookman Old Style"/>
                <w:b/>
              </w:rPr>
              <w:t>12,6 m²</w:t>
            </w:r>
          </w:p>
          <w:p w:rsidR="00423861" w:rsidRPr="00D93F8B" w:rsidRDefault="00423861" w:rsidP="007F3783">
            <w:pPr>
              <w:rPr>
                <w:rStyle w:val="fontstyle01"/>
                <w:rFonts w:ascii="Bookman Old Style" w:hAnsi="Bookman Old Style"/>
                <w:b/>
                <w:color w:val="auto"/>
              </w:rPr>
            </w:pPr>
          </w:p>
        </w:tc>
      </w:tr>
    </w:tbl>
    <w:p w:rsidR="00402178" w:rsidRPr="00264E4F" w:rsidRDefault="00402178" w:rsidP="00402178">
      <w:pPr>
        <w:pStyle w:val="Nivel4"/>
        <w:numPr>
          <w:ilvl w:val="0"/>
          <w:numId w:val="0"/>
        </w:numPr>
        <w:ind w:left="851"/>
        <w:rPr>
          <w:rFonts w:ascii="Bookman Old Style" w:eastAsia="Arial" w:hAnsi="Bookman Old Style"/>
          <w:b/>
          <w:sz w:val="24"/>
          <w:szCs w:val="24"/>
        </w:rPr>
      </w:pPr>
    </w:p>
    <w:p w:rsidR="00402178" w:rsidRPr="00264E4F" w:rsidRDefault="00402178" w:rsidP="00402178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>b.1) O(s) atestado(s) apresentado(s) para a comprovação de responsabilidade técnica</w:t>
      </w:r>
      <w:r w:rsidRPr="00264E4F">
        <w:rPr>
          <w:rFonts w:ascii="Bookman Old Style" w:eastAsia="Times New Roman" w:hAnsi="Bookman Old Style" w:cs="Times New Roman"/>
          <w:sz w:val="24"/>
          <w:szCs w:val="24"/>
        </w:rPr>
        <w:br/>
        <w:t>somente constituirá(ão) prova de capacitação se acompanhado(s) da respectiva Certidão de Acervo Técnico, ou ART ou RRT, emitido(s) pelo CREA e/ou pelo CAU.</w:t>
      </w:r>
      <w:r w:rsidRPr="00264E4F">
        <w:rPr>
          <w:rFonts w:ascii="Bookman Old Style" w:eastAsia="Times New Roman" w:hAnsi="Bookman Old Style" w:cs="Times New Roman"/>
          <w:sz w:val="24"/>
          <w:szCs w:val="24"/>
        </w:rPr>
        <w:br/>
        <w:t>c) Declaração formal da empresa, assinada pelo responsável técnico do licitante, acerca do conhecimento pleno das condições e peculiaridades da contratação.</w:t>
      </w:r>
    </w:p>
    <w:p w:rsidR="00402178" w:rsidRPr="00264E4F" w:rsidRDefault="00402178" w:rsidP="00402178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br/>
      </w:r>
      <w:r>
        <w:rPr>
          <w:rFonts w:ascii="Bookman Old Style" w:eastAsia="Times New Roman" w:hAnsi="Bookman Old Style" w:cs="Times New Roman"/>
          <w:b/>
          <w:bCs/>
          <w:sz w:val="24"/>
          <w:szCs w:val="24"/>
        </w:rPr>
        <w:t>3</w:t>
      </w:r>
      <w:r w:rsidRPr="00264E4F">
        <w:rPr>
          <w:rFonts w:ascii="Bookman Old Style" w:eastAsia="Times New Roman" w:hAnsi="Bookman Old Style" w:cs="Times New Roman"/>
          <w:b/>
          <w:bCs/>
          <w:sz w:val="24"/>
          <w:szCs w:val="24"/>
        </w:rPr>
        <w:t xml:space="preserve">.2.  </w:t>
      </w:r>
      <w:r w:rsidRPr="00264E4F">
        <w:rPr>
          <w:rFonts w:ascii="Bookman Old Style" w:eastAsia="Times New Roman" w:hAnsi="Bookman Old Style" w:cs="Times New Roman"/>
          <w:sz w:val="24"/>
          <w:szCs w:val="24"/>
        </w:rPr>
        <w:t>Capacidade Técnica Profissional:</w:t>
      </w:r>
    </w:p>
    <w:p w:rsidR="00402178" w:rsidRPr="00264E4F" w:rsidRDefault="00402178" w:rsidP="00402178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 xml:space="preserve">a) declaração de responsabilidade técnica, indicando o responsável técnico pela execução da obra (Anexo IX) até o seu recebimento definitivo pelo licitador; </w:t>
      </w:r>
    </w:p>
    <w:p w:rsidR="00402178" w:rsidRPr="00264E4F" w:rsidRDefault="00402178" w:rsidP="00402178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>a.1) O responsável indicado, para fins de comprovação da capacitação, deverá participar da obra objeto da licitação.</w:t>
      </w:r>
    </w:p>
    <w:p w:rsidR="00402178" w:rsidRPr="00264E4F" w:rsidRDefault="00402178" w:rsidP="00402178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>b) a declaração de responsabilidade técnica deverá ser acompanhada de “Certificado de Acervo Técnico Profissional – CAT” do</w:t>
      </w:r>
      <w:r w:rsidRPr="00264E4F">
        <w:rPr>
          <w:rFonts w:ascii="Bookman Old Style" w:eastAsia="Times New Roman" w:hAnsi="Bookman Old Style" w:cs="Times New Roman"/>
          <w:i/>
          <w:iCs/>
          <w:sz w:val="24"/>
          <w:szCs w:val="24"/>
        </w:rPr>
        <w:t>(s</w:t>
      </w:r>
      <w:r w:rsidRPr="00264E4F">
        <w:rPr>
          <w:rFonts w:ascii="Bookman Old Style" w:eastAsia="Times New Roman" w:hAnsi="Bookman Old Style" w:cs="Times New Roman"/>
          <w:sz w:val="24"/>
          <w:szCs w:val="24"/>
        </w:rPr>
        <w:t>) responsável (</w:t>
      </w:r>
      <w:r w:rsidRPr="00264E4F">
        <w:rPr>
          <w:rFonts w:ascii="Bookman Old Style" w:eastAsia="Times New Roman" w:hAnsi="Bookman Old Style" w:cs="Times New Roman"/>
          <w:i/>
          <w:iCs/>
          <w:sz w:val="24"/>
          <w:szCs w:val="24"/>
        </w:rPr>
        <w:t>ei</w:t>
      </w:r>
      <w:r w:rsidRPr="00264E4F">
        <w:rPr>
          <w:rFonts w:ascii="Bookman Old Style" w:eastAsia="Times New Roman" w:hAnsi="Bookman Old Style" w:cs="Times New Roman"/>
          <w:sz w:val="24"/>
          <w:szCs w:val="24"/>
        </w:rPr>
        <w:t>s) técnico (</w:t>
      </w:r>
      <w:r w:rsidRPr="00264E4F">
        <w:rPr>
          <w:rFonts w:ascii="Bookman Old Style" w:eastAsia="Times New Roman" w:hAnsi="Bookman Old Style" w:cs="Times New Roman"/>
          <w:i/>
          <w:iCs/>
          <w:sz w:val="24"/>
          <w:szCs w:val="24"/>
        </w:rPr>
        <w:t>s</w:t>
      </w:r>
      <w:r w:rsidRPr="00264E4F">
        <w:rPr>
          <w:rFonts w:ascii="Bookman Old Style" w:eastAsia="Times New Roman" w:hAnsi="Bookman Old Style" w:cs="Times New Roman"/>
          <w:sz w:val="24"/>
          <w:szCs w:val="24"/>
        </w:rPr>
        <w:t>) indicado (</w:t>
      </w:r>
      <w:r w:rsidRPr="00264E4F">
        <w:rPr>
          <w:rFonts w:ascii="Bookman Old Style" w:eastAsia="Times New Roman" w:hAnsi="Bookman Old Style" w:cs="Times New Roman"/>
          <w:i/>
          <w:iCs/>
          <w:sz w:val="24"/>
          <w:szCs w:val="24"/>
        </w:rPr>
        <w:t>s</w:t>
      </w:r>
      <w:r w:rsidRPr="00264E4F">
        <w:rPr>
          <w:rFonts w:ascii="Bookman Old Style" w:eastAsia="Times New Roman" w:hAnsi="Bookman Old Style" w:cs="Times New Roman"/>
          <w:sz w:val="24"/>
          <w:szCs w:val="24"/>
        </w:rPr>
        <w:t>), emitido (</w:t>
      </w:r>
      <w:r w:rsidRPr="00264E4F">
        <w:rPr>
          <w:rFonts w:ascii="Bookman Old Style" w:eastAsia="Times New Roman" w:hAnsi="Bookman Old Style" w:cs="Times New Roman"/>
          <w:i/>
          <w:iCs/>
          <w:sz w:val="24"/>
          <w:szCs w:val="24"/>
        </w:rPr>
        <w:t>s</w:t>
      </w:r>
      <w:r w:rsidRPr="00264E4F">
        <w:rPr>
          <w:rFonts w:ascii="Bookman Old Style" w:eastAsia="Times New Roman" w:hAnsi="Bookman Old Style" w:cs="Times New Roman"/>
          <w:sz w:val="24"/>
          <w:szCs w:val="24"/>
        </w:rPr>
        <w:t>) pelo “Conselho Regional de Engenharia e Agronomia – CREA e/ou Conselho de Arquitetura e Urbanismo – CAU”, de execução de, no mínimo, uma obra de semelhante complexidade tecnológica e operacional equivalente ou superior à solicitada no objeto da presente contratação;</w:t>
      </w:r>
    </w:p>
    <w:p w:rsidR="00402178" w:rsidRPr="00264E4F" w:rsidRDefault="00402178" w:rsidP="00402178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>c) A comprovação de pertencer ao quadro permanente da empresa deverá ser feita mediante uma das seguintes formas:</w:t>
      </w:r>
    </w:p>
    <w:p w:rsidR="00402178" w:rsidRPr="00264E4F" w:rsidRDefault="00402178" w:rsidP="00402178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>c.1) Carteira de Trabalho;</w:t>
      </w:r>
    </w:p>
    <w:p w:rsidR="00402178" w:rsidRPr="00264E4F" w:rsidRDefault="00402178" w:rsidP="00402178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>c.2) Certidão do CREA;</w:t>
      </w:r>
    </w:p>
    <w:p w:rsidR="00402178" w:rsidRPr="00264E4F" w:rsidRDefault="00402178" w:rsidP="00402178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>c.3) Certidão do CAU;</w:t>
      </w:r>
    </w:p>
    <w:p w:rsidR="00402178" w:rsidRPr="00264E4F" w:rsidRDefault="00402178" w:rsidP="00402178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>c.4) Contrato Social;</w:t>
      </w:r>
    </w:p>
    <w:p w:rsidR="00402178" w:rsidRPr="00264E4F" w:rsidRDefault="00402178" w:rsidP="00402178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>c.5) Contrato de prestação de serviços;</w:t>
      </w:r>
    </w:p>
    <w:p w:rsidR="00402178" w:rsidRPr="00264E4F" w:rsidRDefault="00402178" w:rsidP="00402178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>c.6) Contrato de Trabalho registrado na DRT;</w:t>
      </w:r>
    </w:p>
    <w:p w:rsidR="00402178" w:rsidRPr="00264E4F" w:rsidRDefault="00402178" w:rsidP="00402178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Arial" w:hAnsi="Bookman Old Style"/>
          <w:color w:val="auto"/>
          <w:sz w:val="24"/>
          <w:szCs w:val="24"/>
          <w:lang w:eastAsia="pt-BR"/>
        </w:rPr>
      </w:pPr>
      <w:r w:rsidRPr="00264E4F">
        <w:rPr>
          <w:rFonts w:ascii="Bookman Old Style" w:eastAsia="Arial" w:hAnsi="Bookman Old Style"/>
          <w:color w:val="auto"/>
          <w:sz w:val="24"/>
          <w:szCs w:val="24"/>
          <w:lang w:eastAsia="pt-BR"/>
        </w:rPr>
        <w:lastRenderedPageBreak/>
        <w:t xml:space="preserve">d) relação de disponibilidade de veículos, máquinas e equipamentos a serem disponibilizados para a execução da (s) obra (s), conforme análise do projeto, constando o nome, n. º do RG, assinatura do responsável legal e nome, número do registro no CREA/CAU e assinatura do responsável técnico indicado, com declaração expressa de sua disponibilidade durante a execução, sob pena de inabilitação (ANEXO XIV); </w:t>
      </w:r>
    </w:p>
    <w:p w:rsidR="00402178" w:rsidRPr="00264E4F" w:rsidRDefault="00402178" w:rsidP="00402178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Arial" w:hAnsi="Bookman Old Style"/>
          <w:color w:val="auto"/>
          <w:sz w:val="24"/>
          <w:szCs w:val="24"/>
          <w:lang w:eastAsia="pt-BR"/>
        </w:rPr>
      </w:pPr>
      <w:r w:rsidRPr="00264E4F">
        <w:rPr>
          <w:rFonts w:ascii="Bookman Old Style" w:eastAsia="Arial" w:hAnsi="Bookman Old Style"/>
          <w:color w:val="auto"/>
          <w:sz w:val="24"/>
          <w:szCs w:val="24"/>
          <w:lang w:eastAsia="pt-BR"/>
        </w:rPr>
        <w:t>e) cronograma de utilização de veículos, máquinas e equipamentos (ANEXO XV),</w:t>
      </w:r>
      <w:r w:rsidRPr="00264E4F">
        <w:rPr>
          <w:rFonts w:ascii="Bookman Old Style" w:eastAsia="Arial" w:hAnsi="Bookman Old Style"/>
          <w:color w:val="auto"/>
          <w:sz w:val="24"/>
          <w:szCs w:val="24"/>
          <w:lang w:eastAsia="pt-BR"/>
        </w:rPr>
        <w:br/>
        <w:t>devidamente preenchido, com base na relação de disponibilidade do item anterior, constando nome, n. º RG e assinatura do responsável legal pela empresa; e nome, número do registro no CREA/CAU e assinatura do responsável técnico indicado;</w:t>
      </w:r>
      <w:r w:rsidRPr="00264E4F">
        <w:rPr>
          <w:rFonts w:ascii="Bookman Old Style" w:eastAsia="Arial" w:hAnsi="Bookman Old Style"/>
          <w:color w:val="auto"/>
          <w:sz w:val="24"/>
          <w:szCs w:val="24"/>
          <w:lang w:eastAsia="pt-BR"/>
        </w:rPr>
        <w:br/>
        <w:t>É vedada, sob pena de inabilitação, a indicação de um mesmo responsável técnico,</w:t>
      </w:r>
      <w:r w:rsidRPr="00264E4F">
        <w:rPr>
          <w:rFonts w:ascii="Bookman Old Style" w:eastAsia="Arial" w:hAnsi="Bookman Old Style"/>
          <w:color w:val="auto"/>
          <w:sz w:val="24"/>
          <w:szCs w:val="24"/>
          <w:lang w:eastAsia="pt-BR"/>
        </w:rPr>
        <w:br/>
        <w:t>ou utilização de seu acervo técnico, por mais de uma proponente.</w:t>
      </w:r>
      <w:r w:rsidRPr="00264E4F">
        <w:rPr>
          <w:rFonts w:ascii="Bookman Old Style" w:eastAsia="Arial" w:hAnsi="Bookman Old Style"/>
          <w:color w:val="auto"/>
          <w:sz w:val="24"/>
          <w:szCs w:val="24"/>
          <w:lang w:eastAsia="pt-BR"/>
        </w:rPr>
        <w:br/>
        <w:t>O responsável técnico só poderá ser substituído, se atendidos os critérios exigidos nesse Edital, e desde que com expressa autorização do Município.</w:t>
      </w:r>
    </w:p>
    <w:p w:rsidR="00402178" w:rsidRPr="00264E4F" w:rsidRDefault="00402178" w:rsidP="00402178">
      <w:pPr>
        <w:pStyle w:val="Nivel2"/>
      </w:pPr>
      <w:r w:rsidRPr="00264E4F">
        <w:t xml:space="preserve"> Sobre os critérios de sustentabilidade e o objeto em questão: Os serviços prestados pela empresa contratada deverão fundamentar-se no uso racional de recursos e equipamentos, de forma a evitar e prevenir o desperdício de insumos e material consumidos, bem como a geração de resíduos, além do desperdício de água e consumo excessivo de energia. Sempre que possível fazer uso de energia renovável. </w:t>
      </w:r>
    </w:p>
    <w:p w:rsidR="00402178" w:rsidRPr="00264E4F" w:rsidRDefault="00402178" w:rsidP="00402178">
      <w:pPr>
        <w:pStyle w:val="Nivel2"/>
      </w:pPr>
      <w:r w:rsidRPr="00264E4F">
        <w:t>A contratada deverá ter pleno conhecimento e se responsabilizar pelo trabalho seguro das pessoas envolvidas no manuseio de ferramentas, equipamentos e produtos inflamáveis, conforme legislação em vigor do Ministério do Trabalho. Está também se responsabilizará por ações e/ou omissões sobre os resíduos e rejeitos sólidos, líquidos e derivados, nos locais da obra, removendo e promovendo a devida destinação.</w:t>
      </w:r>
    </w:p>
    <w:p w:rsidR="00402178" w:rsidRPr="00264E4F" w:rsidRDefault="00402178" w:rsidP="00402178">
      <w:pPr>
        <w:ind w:firstLine="284"/>
        <w:jc w:val="both"/>
        <w:rPr>
          <w:rFonts w:ascii="Bookman Old Style" w:eastAsia="Arial" w:hAnsi="Bookman Old Style" w:cs="Arial"/>
        </w:rPr>
      </w:pPr>
      <w:r w:rsidRPr="00264E4F">
        <w:rPr>
          <w:rFonts w:ascii="Bookman Old Style" w:eastAsia="Arial" w:hAnsi="Bookman Old Style" w:cs="Arial"/>
        </w:rPr>
        <w:t xml:space="preserve">Sugere-se a realização de vistoria para a formação do preço, para que sejam verificadas eventuais ocorrências que possa dificultar a realização dos serviços. </w:t>
      </w:r>
    </w:p>
    <w:p w:rsidR="00402178" w:rsidRPr="00264E4F" w:rsidRDefault="00402178" w:rsidP="00402178">
      <w:pPr>
        <w:ind w:firstLine="284"/>
        <w:jc w:val="both"/>
        <w:rPr>
          <w:rFonts w:ascii="Bookman Old Style" w:eastAsia="Arial" w:hAnsi="Bookman Old Style" w:cs="Arial"/>
        </w:rPr>
      </w:pPr>
      <w:r w:rsidRPr="00264E4F">
        <w:rPr>
          <w:rFonts w:ascii="Bookman Old Style" w:eastAsia="Arial" w:hAnsi="Bookman Old Style" w:cs="Arial"/>
        </w:rPr>
        <w:t xml:space="preserve">A vistoria deverá ser agendada junto ao Departamento De Engenharia. É cabível a substituição por declaração formal assinada pelo responsável técnico da empresa licitante sobre o pleno conhecimento das condições e peculiaridades da contratação. </w:t>
      </w:r>
    </w:p>
    <w:p w:rsidR="00402178" w:rsidRPr="00264E4F" w:rsidRDefault="00402178" w:rsidP="00402178">
      <w:pPr>
        <w:ind w:firstLine="284"/>
        <w:jc w:val="both"/>
        <w:rPr>
          <w:rFonts w:ascii="Bookman Old Style" w:eastAsia="Arial" w:hAnsi="Bookman Old Style" w:cs="Arial"/>
        </w:rPr>
      </w:pPr>
      <w:r w:rsidRPr="00264E4F">
        <w:rPr>
          <w:rFonts w:ascii="Bookman Old Style" w:eastAsia="Arial" w:hAnsi="Bookman Old Style" w:cs="Arial"/>
        </w:rPr>
        <w:lastRenderedPageBreak/>
        <w:t>Não será exigida a garantia de participação, visto que o valor da contratação não é significativo.</w:t>
      </w:r>
    </w:p>
    <w:p w:rsidR="00A823B7" w:rsidRDefault="00A823B7" w:rsidP="00402178">
      <w:pPr>
        <w:ind w:firstLine="284"/>
        <w:jc w:val="both"/>
        <w:rPr>
          <w:rFonts w:ascii="Bookman Old Style" w:eastAsia="Arial" w:hAnsi="Bookman Old Style" w:cs="Arial"/>
        </w:rPr>
      </w:pPr>
      <w:r w:rsidRPr="00264E4F">
        <w:rPr>
          <w:rFonts w:ascii="Bookman Old Style" w:eastAsia="Arial" w:hAnsi="Bookman Old Style" w:cs="Arial"/>
        </w:rPr>
        <w:t>O objeto deverá ser licitado</w:t>
      </w:r>
      <w:r w:rsidRPr="00A823B7">
        <w:rPr>
          <w:rFonts w:ascii="Bookman Old Style" w:eastAsia="Arial" w:hAnsi="Bookman Old Style" w:cs="Arial"/>
        </w:rPr>
        <w:t xml:space="preserve"> via Concorrência Eletrônica, sob o regime de Empreitada por Preço Unitário. Esta modalidade é a mais indicada devido à natureza de reforma do objeto, que impõe um grau de dificuldade em obter o quantitativo exato dos serviços. A complexidade de identificar a dimensão real de todos os danos e a possibilidade de omissão de serviços essenciais no projeto executivo tornam o Preço Unitário indispensável, pois o pagamento será realizado estritamente pelas quantidades efetivamente medidas e executadas. Este regime garante a precisão do dispêndio público, alinhando o valor final do contrato </w:t>
      </w:r>
      <w:r>
        <w:rPr>
          <w:rFonts w:ascii="Bookman Old Style" w:eastAsia="Arial" w:hAnsi="Bookman Old Style" w:cs="Arial"/>
        </w:rPr>
        <w:t>ao volume real de obra entregue.</w:t>
      </w:r>
    </w:p>
    <w:p w:rsidR="00402178" w:rsidRDefault="00A823B7" w:rsidP="00402178">
      <w:pPr>
        <w:ind w:firstLine="284"/>
        <w:jc w:val="both"/>
        <w:rPr>
          <w:rFonts w:ascii="Bookman Old Style" w:eastAsia="Arial" w:hAnsi="Bookman Old Style" w:cs="Arial"/>
        </w:rPr>
      </w:pPr>
      <w:r>
        <w:rPr>
          <w:rFonts w:ascii="Bookman Old Style" w:eastAsia="Arial" w:hAnsi="Bookman Old Style" w:cs="Arial"/>
        </w:rPr>
        <w:t xml:space="preserve">Quanto ao critério de julgamento será o </w:t>
      </w:r>
      <w:r w:rsidRPr="005223C2">
        <w:rPr>
          <w:rFonts w:ascii="Bookman Old Style" w:eastAsia="Arial" w:hAnsi="Bookman Old Style" w:cs="Arial"/>
        </w:rPr>
        <w:t>de</w:t>
      </w:r>
      <w:r w:rsidR="00402178" w:rsidRPr="005223C2">
        <w:rPr>
          <w:rFonts w:ascii="Bookman Old Style" w:eastAsia="Arial" w:hAnsi="Bookman Old Style" w:cs="Arial"/>
        </w:rPr>
        <w:t xml:space="preserve"> </w:t>
      </w:r>
      <w:r w:rsidR="005223C2" w:rsidRPr="005223C2">
        <w:rPr>
          <w:rFonts w:ascii="Bookman Old Style" w:eastAsia="Arial" w:hAnsi="Bookman Old Style" w:cs="Arial"/>
        </w:rPr>
        <w:t>maior desconto</w:t>
      </w:r>
      <w:r w:rsidRPr="005223C2">
        <w:rPr>
          <w:rFonts w:ascii="Bookman Old Style" w:eastAsia="Arial" w:hAnsi="Bookman Old Style" w:cs="Arial"/>
        </w:rPr>
        <w:t xml:space="preserve">. Justificada </w:t>
      </w:r>
      <w:r w:rsidRPr="00A823B7">
        <w:rPr>
          <w:rFonts w:ascii="Bookman Old Style" w:eastAsia="Arial" w:hAnsi="Bookman Old Style" w:cs="Arial"/>
        </w:rPr>
        <w:t>por garantir a máxima economicidade para a Administração Pública, otimizando a aplicação dos recursos e maximizando o retorno sobre o investimento.</w:t>
      </w:r>
      <w:r w:rsidR="00402178" w:rsidRPr="00A823B7">
        <w:rPr>
          <w:rFonts w:ascii="Bookman Old Style" w:eastAsia="Arial" w:hAnsi="Bookman Old Style" w:cs="Arial"/>
        </w:rPr>
        <w:t xml:space="preserve"> </w:t>
      </w:r>
      <w:r w:rsidR="00402178" w:rsidRPr="00264E4F">
        <w:rPr>
          <w:rFonts w:ascii="Bookman Old Style" w:eastAsia="Arial" w:hAnsi="Bookman Old Style" w:cs="Arial"/>
        </w:rPr>
        <w:t>(art. 6º,inciso XXXVIII, alínea “a”, Lei 14.133/21).</w:t>
      </w:r>
      <w:r>
        <w:rPr>
          <w:rFonts w:ascii="Bookman Old Style" w:eastAsia="Arial" w:hAnsi="Bookman Old Style" w:cs="Arial"/>
        </w:rPr>
        <w:t xml:space="preserve"> </w:t>
      </w:r>
    </w:p>
    <w:p w:rsidR="00D93F8B" w:rsidRDefault="00D93F8B" w:rsidP="00D93F8B">
      <w:pPr>
        <w:jc w:val="both"/>
        <w:rPr>
          <w:rFonts w:ascii="Bookman Old Style" w:eastAsia="Arial" w:hAnsi="Bookman Old Style" w:cs="Arial"/>
        </w:rPr>
      </w:pPr>
    </w:p>
    <w:p w:rsidR="00D93F8B" w:rsidRPr="0018215E" w:rsidRDefault="00D93F8B" w:rsidP="00D93F8B">
      <w:pPr>
        <w:jc w:val="both"/>
        <w:rPr>
          <w:rFonts w:ascii="Times New Roman" w:hAnsi="Times New Roman" w:cs="Times New Roman"/>
        </w:rPr>
      </w:pPr>
      <w:r w:rsidRPr="0018215E">
        <w:rPr>
          <w:rFonts w:ascii="Times New Roman" w:hAnsi="Times New Roman" w:cs="Times New Roman"/>
          <w:b/>
          <w:u w:val="single"/>
        </w:rPr>
        <w:t>SEÇÃO 4 - ESTIMATIVA DA QUANTIDADE A SER CONTRATADA</w:t>
      </w:r>
      <w:r>
        <w:rPr>
          <w:rFonts w:ascii="Times New Roman" w:hAnsi="Times New Roman" w:cs="Times New Roman"/>
        </w:rPr>
        <w:t xml:space="preserve"> </w:t>
      </w:r>
      <w:r w:rsidRPr="0018215E">
        <w:rPr>
          <w:rFonts w:ascii="Times New Roman" w:hAnsi="Times New Roman" w:cs="Times New Roman"/>
        </w:rPr>
        <w:t>(inciso V do Art. 59 do Decreto nº 3.927/2023 e inciso IV do §1º do Art. 18 da Lei nº 14.133/2021).</w:t>
      </w:r>
    </w:p>
    <w:p w:rsidR="00D93F8B" w:rsidRPr="008A6369" w:rsidRDefault="00D93F8B" w:rsidP="00D93F8B">
      <w:pPr>
        <w:jc w:val="both"/>
        <w:rPr>
          <w:rFonts w:ascii="Times New Roman" w:hAnsi="Times New Roman" w:cs="Times New Roman"/>
          <w:b/>
        </w:rPr>
      </w:pPr>
      <w:r w:rsidRPr="008A6369">
        <w:rPr>
          <w:rFonts w:ascii="Times New Roman" w:hAnsi="Times New Roman" w:cs="Times New Roman"/>
          <w:b/>
        </w:rPr>
        <w:t xml:space="preserve">4.1 Identificação dos </w:t>
      </w:r>
      <w:r>
        <w:rPr>
          <w:rFonts w:ascii="Times New Roman" w:hAnsi="Times New Roman" w:cs="Times New Roman"/>
          <w:b/>
        </w:rPr>
        <w:t>serviços</w:t>
      </w:r>
      <w:r w:rsidRPr="008A6369">
        <w:rPr>
          <w:rFonts w:ascii="Times New Roman" w:hAnsi="Times New Roman" w:cs="Times New Roman"/>
          <w:b/>
        </w:rPr>
        <w:t>, quantidades e unidades:</w:t>
      </w:r>
    </w:p>
    <w:p w:rsidR="00402178" w:rsidRPr="00264E4F" w:rsidRDefault="00D93F8B" w:rsidP="00402178">
      <w:pPr>
        <w:jc w:val="both"/>
        <w:rPr>
          <w:rFonts w:ascii="Bookman Old Style" w:eastAsia="Arial" w:hAnsi="Bookman Old Style" w:cs="Arial"/>
          <w:b/>
          <w:color w:val="FF0000"/>
        </w:rPr>
      </w:pPr>
      <w:r w:rsidRPr="0018215E">
        <w:rPr>
          <w:rFonts w:ascii="Times New Roman" w:hAnsi="Times New Roman" w:cs="Times New Roman"/>
        </w:rPr>
        <w:t xml:space="preserve">4.1.1. A estimativa da quantidade a ser contratada é justificada nos termos deste ETP, conforme disposto na Lei Federal nº 14.133 de abril de 2021. </w:t>
      </w:r>
      <w:r w:rsidR="00533DE5" w:rsidRPr="00533DE5">
        <w:rPr>
          <w:rFonts w:ascii="Times New Roman" w:hAnsi="Times New Roman" w:cs="Times New Roman"/>
        </w:rPr>
        <w:t xml:space="preserve">O quantitativo detalhado dos materiais e serviços a serem contratados está integralmente fundamentado nos elementos técnicos anexos a este Estudo Técnico Preliminar. O levantamento de todas as quantidades necessárias para a execução da obra foi criteriosamente obtido a partir da análise e consolidação do </w:t>
      </w:r>
      <w:r w:rsidR="00533DE5">
        <w:rPr>
          <w:rFonts w:ascii="Times New Roman" w:hAnsi="Times New Roman" w:cs="Times New Roman"/>
        </w:rPr>
        <w:t xml:space="preserve">croqui de serviços, incluindo </w:t>
      </w:r>
      <w:r w:rsidR="00533DE5" w:rsidRPr="00533DE5">
        <w:rPr>
          <w:rFonts w:ascii="Times New Roman" w:hAnsi="Times New Roman" w:cs="Times New Roman"/>
        </w:rPr>
        <w:t>o memorial descritivo</w:t>
      </w:r>
      <w:r w:rsidR="00533DE5">
        <w:rPr>
          <w:rFonts w:ascii="Times New Roman" w:hAnsi="Times New Roman" w:cs="Times New Roman"/>
        </w:rPr>
        <w:t>, memorial de cálculo</w:t>
      </w:r>
      <w:r w:rsidR="00533DE5" w:rsidRPr="00533DE5">
        <w:rPr>
          <w:rFonts w:ascii="Times New Roman" w:hAnsi="Times New Roman" w:cs="Times New Roman"/>
        </w:rPr>
        <w:t xml:space="preserve"> e as especificações técnicas aplicáveis a cada item da reforma.</w:t>
      </w:r>
    </w:p>
    <w:p w:rsidR="00533DE5" w:rsidRDefault="00533DE5" w:rsidP="00CC6D9F">
      <w:pPr>
        <w:jc w:val="both"/>
        <w:rPr>
          <w:rFonts w:ascii="Bookman Old Style" w:eastAsia="Arial" w:hAnsi="Bookman Old Style" w:cs="Arial"/>
          <w:b/>
          <w:u w:val="single"/>
        </w:rPr>
      </w:pPr>
    </w:p>
    <w:p w:rsidR="00B642EE" w:rsidRPr="00CC6D9F" w:rsidRDefault="00CC6D9F" w:rsidP="00CC6D9F">
      <w:pPr>
        <w:jc w:val="both"/>
        <w:rPr>
          <w:rFonts w:ascii="Bookman Old Style" w:eastAsia="Arial" w:hAnsi="Bookman Old Style" w:cs="Arial"/>
          <w:b/>
          <w:u w:val="single"/>
        </w:rPr>
      </w:pPr>
      <w:r>
        <w:rPr>
          <w:rFonts w:ascii="Bookman Old Style" w:eastAsia="Arial" w:hAnsi="Bookman Old Style" w:cs="Arial"/>
          <w:b/>
          <w:u w:val="single"/>
        </w:rPr>
        <w:t>SEÇÃO 4</w:t>
      </w:r>
      <w:r w:rsidRPr="00CC6D9F">
        <w:rPr>
          <w:rFonts w:ascii="Bookman Old Style" w:eastAsia="Arial" w:hAnsi="Bookman Old Style" w:cs="Arial"/>
          <w:b/>
          <w:u w:val="single"/>
        </w:rPr>
        <w:t xml:space="preserve"> </w:t>
      </w:r>
      <w:r>
        <w:rPr>
          <w:rFonts w:ascii="Bookman Old Style" w:eastAsia="Arial" w:hAnsi="Bookman Old Style" w:cs="Arial"/>
          <w:b/>
          <w:u w:val="single"/>
        </w:rPr>
        <w:t xml:space="preserve">- </w:t>
      </w:r>
      <w:r w:rsidRPr="00CC6D9F">
        <w:rPr>
          <w:rFonts w:ascii="Bookman Old Style" w:eastAsia="Arial" w:hAnsi="Bookman Old Style" w:cs="Arial"/>
          <w:b/>
          <w:u w:val="single"/>
        </w:rPr>
        <w:t>JUSTIFICATIVA DE QUANTITATIVO:</w:t>
      </w:r>
    </w:p>
    <w:p w:rsidR="00402178" w:rsidRPr="00264E4F" w:rsidRDefault="00CC6D9F" w:rsidP="00402178">
      <w:pPr>
        <w:ind w:firstLine="284"/>
        <w:jc w:val="both"/>
        <w:rPr>
          <w:rFonts w:ascii="Bookman Old Style" w:eastAsia="Arial" w:hAnsi="Bookman Old Style" w:cs="Arial"/>
        </w:rPr>
      </w:pPr>
      <w:r>
        <w:rPr>
          <w:rFonts w:ascii="Times New Roman" w:hAnsi="Times New Roman" w:cs="Times New Roman"/>
        </w:rPr>
        <w:t>4</w:t>
      </w:r>
      <w:r w:rsidR="00E45A8E" w:rsidRPr="00C504E9">
        <w:rPr>
          <w:rFonts w:ascii="Times New Roman" w:hAnsi="Times New Roman" w:cs="Times New Roman"/>
        </w:rPr>
        <w:t>.1</w:t>
      </w:r>
      <w:r w:rsidR="00B642EE" w:rsidRPr="00C504E9">
        <w:rPr>
          <w:rFonts w:ascii="Times New Roman" w:hAnsi="Times New Roman" w:cs="Times New Roman"/>
        </w:rPr>
        <w:t>.</w:t>
      </w:r>
      <w:r w:rsidR="00033BE8" w:rsidRPr="00C504E9">
        <w:rPr>
          <w:rFonts w:ascii="Times New Roman" w:hAnsi="Times New Roman" w:cs="Times New Roman"/>
        </w:rPr>
        <w:t xml:space="preserve"> </w:t>
      </w:r>
      <w:r w:rsidR="0095266F" w:rsidRPr="0095266F">
        <w:rPr>
          <w:rFonts w:ascii="Bookman Old Style" w:eastAsia="Arial" w:hAnsi="Bookman Old Style" w:cs="Arial"/>
        </w:rPr>
        <w:t>A quantidade prevista para a reforma do ginásio poliesportivo</w:t>
      </w:r>
      <w:r w:rsidR="00402178" w:rsidRPr="0095266F">
        <w:rPr>
          <w:rFonts w:ascii="Bookman Old Style" w:eastAsia="Arial" w:hAnsi="Bookman Old Style" w:cs="Arial"/>
        </w:rPr>
        <w:t xml:space="preserve"> está baseada no levantamento detalhado dos serviços, na elaboração dos </w:t>
      </w:r>
      <w:r w:rsidR="0095266F" w:rsidRPr="0095266F">
        <w:rPr>
          <w:rFonts w:ascii="Bookman Old Style" w:eastAsia="Arial" w:hAnsi="Bookman Old Style" w:cs="Arial"/>
        </w:rPr>
        <w:t>desenhos</w:t>
      </w:r>
      <w:r w:rsidR="00402178" w:rsidRPr="0095266F">
        <w:rPr>
          <w:rFonts w:ascii="Bookman Old Style" w:eastAsia="Arial" w:hAnsi="Bookman Old Style" w:cs="Arial"/>
        </w:rPr>
        <w:t xml:space="preserve"> técnicos detalhados, somados aos memoriais descritivos de serviços, elaborados por equipe técnica capacitada.</w:t>
      </w:r>
    </w:p>
    <w:p w:rsidR="00D320DD" w:rsidRDefault="00402178" w:rsidP="00402178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264E4F">
        <w:rPr>
          <w:rFonts w:ascii="Bookman Old Style" w:eastAsia="Arial" w:hAnsi="Bookman Old Style" w:cs="Arial"/>
        </w:rPr>
        <w:t xml:space="preserve"> </w:t>
      </w:r>
    </w:p>
    <w:p w:rsidR="00500A67" w:rsidRPr="00D320DD" w:rsidRDefault="00500A67" w:rsidP="00500A67">
      <w:pPr>
        <w:jc w:val="both"/>
        <w:rPr>
          <w:rFonts w:ascii="Times New Roman" w:hAnsi="Times New Roman" w:cs="Times New Roman"/>
        </w:rPr>
      </w:pPr>
      <w:r w:rsidRPr="00D320DD">
        <w:rPr>
          <w:rFonts w:ascii="Times New Roman" w:hAnsi="Times New Roman" w:cs="Times New Roman"/>
          <w:b/>
          <w:u w:val="single"/>
        </w:rPr>
        <w:t>SEÇÃO 5 – LEVANTAMENTO DE MERCADO</w:t>
      </w:r>
      <w:r w:rsidR="00622B37" w:rsidRPr="00D320DD">
        <w:rPr>
          <w:rFonts w:ascii="Times New Roman" w:hAnsi="Times New Roman" w:cs="Times New Roman"/>
        </w:rPr>
        <w:t xml:space="preserve"> </w:t>
      </w:r>
      <w:r w:rsidR="00A61561" w:rsidRPr="00D320DD">
        <w:rPr>
          <w:rFonts w:ascii="Times New Roman" w:hAnsi="Times New Roman" w:cs="Times New Roman"/>
        </w:rPr>
        <w:t>(inciso III do Art. 59 do Decreto nº 3.927/2023 e inciso V do §1º do Art. 18 da Lei nº 14.133/2021).</w:t>
      </w:r>
    </w:p>
    <w:p w:rsidR="0033167C" w:rsidRPr="0033167C" w:rsidRDefault="0033167C" w:rsidP="00402178">
      <w:pPr>
        <w:ind w:firstLine="284"/>
        <w:jc w:val="both"/>
        <w:rPr>
          <w:rFonts w:ascii="Bookman Old Style" w:eastAsia="Arial" w:hAnsi="Bookman Old Style" w:cs="Arial"/>
        </w:rPr>
      </w:pPr>
      <w:r w:rsidRPr="0033167C">
        <w:rPr>
          <w:rFonts w:ascii="Bookman Old Style" w:eastAsia="Arial" w:hAnsi="Bookman Old Style" w:cs="Arial"/>
        </w:rPr>
        <w:t>5.1 Das opções para pesquisa e composição de preços:</w:t>
      </w:r>
    </w:p>
    <w:p w:rsidR="0033167C" w:rsidRPr="0033167C" w:rsidRDefault="0033167C" w:rsidP="00402178">
      <w:pPr>
        <w:ind w:firstLine="284"/>
        <w:jc w:val="both"/>
        <w:rPr>
          <w:rFonts w:ascii="Bookman Old Style" w:eastAsia="Arial" w:hAnsi="Bookman Old Style" w:cs="Arial"/>
        </w:rPr>
      </w:pPr>
      <w:r w:rsidRPr="0033167C">
        <w:rPr>
          <w:rFonts w:ascii="Bookman Old Style" w:eastAsia="Arial" w:hAnsi="Bookman Old Style" w:cs="Arial"/>
        </w:rPr>
        <w:t>5.1.1 Da utilização de Tabela SINAPI para composições relacionadas no documento intitulado “planilha de serviços sintética” com respectivo código do serviço SINAPI.</w:t>
      </w:r>
    </w:p>
    <w:p w:rsidR="0033167C" w:rsidRPr="0033167C" w:rsidRDefault="0033167C" w:rsidP="00402178">
      <w:pPr>
        <w:ind w:firstLine="284"/>
        <w:jc w:val="both"/>
        <w:rPr>
          <w:rFonts w:ascii="Bookman Old Style" w:eastAsia="Arial" w:hAnsi="Bookman Old Style" w:cs="Arial"/>
        </w:rPr>
      </w:pPr>
      <w:r w:rsidRPr="0033167C">
        <w:rPr>
          <w:rFonts w:ascii="Bookman Old Style" w:eastAsia="Arial" w:hAnsi="Bookman Old Style" w:cs="Arial"/>
        </w:rPr>
        <w:lastRenderedPageBreak/>
        <w:t>5.1.2 Composições não contempladas na tabela SINAPI:</w:t>
      </w:r>
    </w:p>
    <w:p w:rsidR="0033167C" w:rsidRDefault="0033167C" w:rsidP="0033167C">
      <w:pPr>
        <w:pStyle w:val="PargrafodaLista"/>
        <w:numPr>
          <w:ilvl w:val="0"/>
          <w:numId w:val="14"/>
        </w:numPr>
        <w:spacing w:line="360" w:lineRule="auto"/>
        <w:jc w:val="both"/>
      </w:pPr>
      <w:r>
        <w:t>Terão</w:t>
      </w:r>
      <w:r w:rsidRPr="00EA7432">
        <w:t xml:space="preserve"> seus valores definidos por meio da </w:t>
      </w:r>
      <w:r>
        <w:t xml:space="preserve">presente </w:t>
      </w:r>
      <w:r w:rsidRPr="00EA7432">
        <w:rPr>
          <w:b/>
        </w:rPr>
        <w:t>apresentação da composição de seus custos unitários</w:t>
      </w:r>
      <w:r w:rsidRPr="00EA7432">
        <w:t xml:space="preserve"> elaborada por profission</w:t>
      </w:r>
      <w:r>
        <w:t>al técnico habilitado no documento intitulado “Composições de Custos Unitários Complementares”;</w:t>
      </w:r>
    </w:p>
    <w:p w:rsidR="0033167C" w:rsidRDefault="0033167C" w:rsidP="0033167C">
      <w:pPr>
        <w:pStyle w:val="PargrafodaLista"/>
        <w:numPr>
          <w:ilvl w:val="0"/>
          <w:numId w:val="13"/>
        </w:numPr>
        <w:spacing w:line="360" w:lineRule="auto"/>
        <w:jc w:val="both"/>
      </w:pPr>
      <w:r>
        <w:t xml:space="preserve"> Os custos serão utilizados dos serviços e insumos da tabela SINAPI ou outra tabela oficial;</w:t>
      </w:r>
    </w:p>
    <w:p w:rsidR="0033167C" w:rsidRDefault="0033167C" w:rsidP="00135655">
      <w:pPr>
        <w:pStyle w:val="PargrafodaLista"/>
        <w:numPr>
          <w:ilvl w:val="0"/>
          <w:numId w:val="13"/>
        </w:numPr>
        <w:spacing w:line="360" w:lineRule="auto"/>
        <w:jc w:val="both"/>
      </w:pPr>
      <w:r>
        <w:t xml:space="preserve">Foram utilizados insumos cotados através de planilhas oficiais sendo ela a planilha ORSE (Orçamento de obras de </w:t>
      </w:r>
      <w:r w:rsidR="00135655">
        <w:t>Sergipe – orse.cehop.se.gov.br).</w:t>
      </w:r>
    </w:p>
    <w:p w:rsidR="0033167C" w:rsidRDefault="0033167C" w:rsidP="0033167C">
      <w:pPr>
        <w:pStyle w:val="PargrafodaLista"/>
        <w:numPr>
          <w:ilvl w:val="0"/>
          <w:numId w:val="13"/>
        </w:numPr>
        <w:spacing w:after="360" w:line="360" w:lineRule="auto"/>
        <w:ind w:left="1797" w:hanging="357"/>
        <w:jc w:val="both"/>
      </w:pPr>
      <w:r>
        <w:t xml:space="preserve">Os custos que não forem encontrados em tabela SINAPI ou oficial, serão definidos </w:t>
      </w:r>
      <w:r w:rsidRPr="006E1DA5">
        <w:rPr>
          <w:b/>
        </w:rPr>
        <w:t>conforme seguinte ordem</w:t>
      </w:r>
      <w:r>
        <w:t>:</w:t>
      </w:r>
    </w:p>
    <w:p w:rsidR="0033167C" w:rsidRPr="00B51B2C" w:rsidRDefault="0033167C" w:rsidP="0033167C">
      <w:pPr>
        <w:pStyle w:val="PargrafodaLista"/>
        <w:ind w:left="2835"/>
        <w:rPr>
          <w:b/>
          <w:i/>
          <w:sz w:val="20"/>
        </w:rPr>
      </w:pPr>
      <w:r w:rsidRPr="00EA7432">
        <w:rPr>
          <w:i/>
          <w:sz w:val="20"/>
        </w:rPr>
        <w:t xml:space="preserve">III - utilização de dados de pesquisa publicada em mídia especializada, de tabela de referência formalmente aprovada pelo Poder Executivo federal e de sítios eletrônicos especializados ou de domínio amplo, </w:t>
      </w:r>
      <w:r w:rsidRPr="00B51B2C">
        <w:rPr>
          <w:b/>
          <w:i/>
          <w:sz w:val="20"/>
        </w:rPr>
        <w:t xml:space="preserve">desde que contenham a data e a hora de acesso; </w:t>
      </w:r>
    </w:p>
    <w:p w:rsidR="0033167C" w:rsidRDefault="0033167C" w:rsidP="0033167C">
      <w:pPr>
        <w:pStyle w:val="PargrafodaLista"/>
        <w:ind w:left="2835"/>
        <w:rPr>
          <w:i/>
          <w:sz w:val="20"/>
        </w:rPr>
      </w:pPr>
      <w:r w:rsidRPr="00EA7432">
        <w:rPr>
          <w:i/>
          <w:sz w:val="20"/>
        </w:rPr>
        <w:t xml:space="preserve">IV - contratações similares feitas pela Administração Pública, em execução ou concluídas no período de 1 (um) ano anterior à data da pesquisa de preços, observado o índice de atualização de preços correspondente; </w:t>
      </w:r>
    </w:p>
    <w:p w:rsidR="0033167C" w:rsidRDefault="0033167C" w:rsidP="0033167C">
      <w:pPr>
        <w:pStyle w:val="PargrafodaLista"/>
        <w:ind w:left="2835"/>
        <w:rPr>
          <w:i/>
          <w:sz w:val="20"/>
        </w:rPr>
      </w:pPr>
      <w:r w:rsidRPr="00EA7432">
        <w:rPr>
          <w:i/>
          <w:sz w:val="20"/>
        </w:rPr>
        <w:t>V - pesquisa na base nacional de notas fiscais eletrônicas, na forma de regulamento.</w:t>
      </w:r>
    </w:p>
    <w:p w:rsidR="00402178" w:rsidRPr="00A823B7" w:rsidRDefault="00135655" w:rsidP="0033167C">
      <w:pPr>
        <w:ind w:firstLine="284"/>
        <w:jc w:val="both"/>
        <w:rPr>
          <w:rFonts w:ascii="Bookman Old Style" w:eastAsia="Arial" w:hAnsi="Bookman Old Style" w:cs="Arial"/>
        </w:rPr>
      </w:pPr>
      <w:r w:rsidRPr="00A823B7">
        <w:rPr>
          <w:rFonts w:ascii="Bookman Old Style" w:eastAsia="Arial" w:hAnsi="Bookman Old Style" w:cs="Arial"/>
        </w:rPr>
        <w:t>5.1.3 Dos custos que não foram encontrados em tabela SINAPI ou oficial – itens em atendimento à legislação.</w:t>
      </w:r>
    </w:p>
    <w:p w:rsidR="00750807" w:rsidRDefault="00750807" w:rsidP="00750807">
      <w:pPr>
        <w:pStyle w:val="PargrafodaLista"/>
        <w:numPr>
          <w:ilvl w:val="0"/>
          <w:numId w:val="13"/>
        </w:numPr>
        <w:spacing w:line="360" w:lineRule="auto"/>
        <w:jc w:val="both"/>
      </w:pPr>
      <w:r w:rsidRPr="00A823B7">
        <w:t xml:space="preserve">Foram realizadas cotações de mercado </w:t>
      </w:r>
      <w:r>
        <w:t xml:space="preserve">para o item: </w:t>
      </w:r>
      <w:r w:rsidRPr="00750807">
        <w:t>Luminária Industrial Led Ip65 200w 24000 lumens 6500k Preto Branco-frio</w:t>
      </w:r>
      <w:r>
        <w:t>. Com suas devidas cotações no documento intitulado “Cotações de mercado Luminaria de LED” contendo as cotações com cinco empresas de forma online através de páginas de vendas.</w:t>
      </w:r>
    </w:p>
    <w:p w:rsidR="00750807" w:rsidRDefault="00750807" w:rsidP="00750807">
      <w:pPr>
        <w:pStyle w:val="PargrafodaLista"/>
        <w:numPr>
          <w:ilvl w:val="0"/>
          <w:numId w:val="13"/>
        </w:numPr>
        <w:spacing w:line="360" w:lineRule="auto"/>
        <w:jc w:val="both"/>
      </w:pPr>
      <w:r>
        <w:t xml:space="preserve">Foram realizadas cotações de mercado para o item: Cadeira Plástica com Assento Rebatível e Encosto Anatômico (Fornecimento e Instalação). Com suas devidas </w:t>
      </w:r>
      <w:r w:rsidRPr="008B0BE4">
        <w:t xml:space="preserve">cotações contidas no documento intitulado “Cotações </w:t>
      </w:r>
      <w:r w:rsidR="008B0BE4" w:rsidRPr="008B0BE4">
        <w:t>Cadeiras</w:t>
      </w:r>
      <w:r w:rsidRPr="008B0BE4">
        <w:t xml:space="preserve">” contendo as cotações </w:t>
      </w:r>
      <w:r>
        <w:t>com cinco empresas.</w:t>
      </w:r>
    </w:p>
    <w:p w:rsidR="002D2543" w:rsidRDefault="002D2543" w:rsidP="002D2543">
      <w:pPr>
        <w:jc w:val="both"/>
        <w:rPr>
          <w:rFonts w:ascii="Arial" w:eastAsia="Arial" w:hAnsi="Arial" w:cs="Arial"/>
          <w:b/>
          <w:color w:val="000000"/>
        </w:rPr>
      </w:pPr>
      <w:r>
        <w:rPr>
          <w:rFonts w:ascii="Times New Roman" w:hAnsi="Times New Roman" w:cs="Times New Roman"/>
          <w:b/>
          <w:u w:val="single"/>
        </w:rPr>
        <w:t xml:space="preserve">SECÃO 06 - </w:t>
      </w:r>
      <w:r w:rsidRPr="002D2543">
        <w:rPr>
          <w:rFonts w:ascii="Times New Roman" w:hAnsi="Times New Roman" w:cs="Times New Roman"/>
          <w:b/>
          <w:u w:val="single"/>
        </w:rPr>
        <w:t>DO VALOR DA CONTRATAÇÃO – inciso VI, § 1º do art. 18 da Lei 14.133/21</w:t>
      </w:r>
    </w:p>
    <w:p w:rsidR="002D2543" w:rsidRPr="00575C41" w:rsidRDefault="002D2543" w:rsidP="002D2543">
      <w:pPr>
        <w:ind w:firstLine="284"/>
        <w:jc w:val="both"/>
        <w:rPr>
          <w:rFonts w:ascii="Arial" w:eastAsia="Arial" w:hAnsi="Arial" w:cs="Arial"/>
        </w:rPr>
      </w:pPr>
      <w:r w:rsidRPr="00575C41">
        <w:rPr>
          <w:rFonts w:ascii="Arial" w:eastAsia="Arial" w:hAnsi="Arial" w:cs="Arial"/>
        </w:rPr>
        <w:t xml:space="preserve">O valor estimado da </w:t>
      </w:r>
      <w:r w:rsidRPr="008B0BE4">
        <w:rPr>
          <w:rFonts w:ascii="Arial" w:eastAsia="Arial" w:hAnsi="Arial" w:cs="Arial"/>
        </w:rPr>
        <w:t xml:space="preserve">contratação será R$ </w:t>
      </w:r>
      <w:r w:rsidR="008B0BE4" w:rsidRPr="008B0BE4">
        <w:rPr>
          <w:rFonts w:ascii="Arial" w:eastAsia="Arial" w:hAnsi="Arial" w:cs="Arial"/>
        </w:rPr>
        <w:t>752.147,71</w:t>
      </w:r>
      <w:r w:rsidRPr="008B0BE4">
        <w:rPr>
          <w:rFonts w:ascii="Arial" w:eastAsia="Arial" w:hAnsi="Arial" w:cs="Arial"/>
        </w:rPr>
        <w:t xml:space="preserve">. </w:t>
      </w:r>
    </w:p>
    <w:p w:rsidR="00750807" w:rsidRDefault="00750807" w:rsidP="00750807">
      <w:pPr>
        <w:jc w:val="both"/>
        <w:rPr>
          <w:rFonts w:ascii="Times New Roman" w:hAnsi="Times New Roman" w:cs="Times New Roman"/>
          <w:b/>
          <w:u w:val="single"/>
        </w:rPr>
      </w:pPr>
    </w:p>
    <w:p w:rsidR="002D2543" w:rsidRDefault="002D2543" w:rsidP="00750807">
      <w:pPr>
        <w:jc w:val="both"/>
        <w:rPr>
          <w:rFonts w:ascii="Times New Roman" w:hAnsi="Times New Roman" w:cs="Times New Roman"/>
          <w:b/>
          <w:u w:val="single"/>
        </w:rPr>
      </w:pPr>
      <w:r w:rsidRPr="002D2543">
        <w:rPr>
          <w:rFonts w:ascii="Times New Roman" w:hAnsi="Times New Roman" w:cs="Times New Roman"/>
          <w:b/>
          <w:u w:val="single"/>
        </w:rPr>
        <w:t>SEÇÃO 07 – descrição da solução como um todo</w:t>
      </w:r>
      <w:r w:rsidR="009F5067">
        <w:rPr>
          <w:rFonts w:ascii="Times New Roman" w:hAnsi="Times New Roman" w:cs="Times New Roman"/>
          <w:b/>
          <w:u w:val="single"/>
        </w:rPr>
        <w:t xml:space="preserve"> -</w:t>
      </w:r>
      <w:r w:rsidRPr="002D2543">
        <w:rPr>
          <w:rFonts w:ascii="Times New Roman" w:hAnsi="Times New Roman" w:cs="Times New Roman"/>
          <w:b/>
          <w:u w:val="single"/>
        </w:rPr>
        <w:t xml:space="preserve"> (inciso IV do Art. 59 do Decreto nº 3.927/2023 e inciso VII do §1º do Art. 18 da Lei nº 14.133/2021)</w:t>
      </w:r>
    </w:p>
    <w:p w:rsidR="009F37A1" w:rsidRDefault="009F37A1" w:rsidP="009F37A1">
      <w:pPr>
        <w:ind w:firstLine="708"/>
        <w:jc w:val="both"/>
        <w:rPr>
          <w:rFonts w:ascii="Bookman Old Style" w:eastAsia="Arial" w:hAnsi="Bookman Old Style" w:cs="Arial"/>
          <w:color w:val="000000"/>
        </w:rPr>
      </w:pPr>
      <w:r w:rsidRPr="009F37A1">
        <w:rPr>
          <w:rFonts w:ascii="Bookman Old Style" w:eastAsia="Arial" w:hAnsi="Bookman Old Style" w:cs="Arial"/>
          <w:color w:val="000000"/>
        </w:rPr>
        <w:t>A solução técnica proposta visa a recuperação integral e a modernização do Ginásio Poliesportivo, transformando-o em uma instalação totalmente segura, eficiente, acessível e de alto padrão para a comunidade. A intervenção consiste em uma reforma geral da edificação, que abrange desde a contenção de problemas estruturais críticos até a modernização dos acabamentos e sistemas.</w:t>
      </w:r>
    </w:p>
    <w:p w:rsidR="009F37A1" w:rsidRPr="009F37A1" w:rsidRDefault="009F37A1" w:rsidP="009F37A1">
      <w:pPr>
        <w:pStyle w:val="PargrafodaLista"/>
        <w:numPr>
          <w:ilvl w:val="0"/>
          <w:numId w:val="16"/>
        </w:numPr>
        <w:jc w:val="both"/>
        <w:rPr>
          <w:rFonts w:ascii="Bookman Old Style" w:eastAsia="Arial" w:hAnsi="Bookman Old Style" w:cs="Arial"/>
          <w:color w:val="000000"/>
        </w:rPr>
      </w:pPr>
      <w:r w:rsidRPr="009F37A1">
        <w:rPr>
          <w:rFonts w:ascii="Bookman Old Style" w:eastAsia="Arial" w:hAnsi="Bookman Old Style" w:cs="Arial"/>
          <w:color w:val="000000"/>
        </w:rPr>
        <w:t>O volume da solução demandada é compreendido pela execução de um conjunto de serviços de engenharia civil que incluem, mas não se limitam a:</w:t>
      </w:r>
    </w:p>
    <w:p w:rsidR="009F37A1" w:rsidRPr="009F37A1" w:rsidRDefault="009F37A1" w:rsidP="009F37A1">
      <w:pPr>
        <w:pStyle w:val="PargrafodaLista"/>
        <w:numPr>
          <w:ilvl w:val="0"/>
          <w:numId w:val="16"/>
        </w:numPr>
        <w:jc w:val="both"/>
        <w:rPr>
          <w:rFonts w:ascii="Bookman Old Style" w:eastAsia="Arial" w:hAnsi="Bookman Old Style" w:cs="Arial"/>
          <w:color w:val="000000"/>
        </w:rPr>
      </w:pPr>
      <w:r w:rsidRPr="009F37A1">
        <w:rPr>
          <w:rFonts w:ascii="Bookman Old Style" w:eastAsia="Arial" w:hAnsi="Bookman Old Style" w:cs="Arial"/>
          <w:color w:val="000000"/>
        </w:rPr>
        <w:t>Tratamento e substituição da cobertura e da estrutura metálica oxidada.</w:t>
      </w:r>
    </w:p>
    <w:p w:rsidR="009F37A1" w:rsidRPr="009F37A1" w:rsidRDefault="009F37A1" w:rsidP="009F37A1">
      <w:pPr>
        <w:pStyle w:val="PargrafodaLista"/>
        <w:numPr>
          <w:ilvl w:val="0"/>
          <w:numId w:val="16"/>
        </w:numPr>
        <w:jc w:val="both"/>
        <w:rPr>
          <w:rFonts w:ascii="Bookman Old Style" w:eastAsia="Arial" w:hAnsi="Bookman Old Style" w:cs="Arial"/>
          <w:color w:val="000000"/>
        </w:rPr>
      </w:pPr>
      <w:r w:rsidRPr="009F37A1">
        <w:rPr>
          <w:rFonts w:ascii="Bookman Old Style" w:eastAsia="Arial" w:hAnsi="Bookman Old Style" w:cs="Arial"/>
          <w:color w:val="000000"/>
        </w:rPr>
        <w:t>Recuperação estrutural e drenagem das arquibancadas externas, com a instalação de</w:t>
      </w:r>
      <w:r w:rsidR="008B0BE4">
        <w:rPr>
          <w:rFonts w:ascii="Bookman Old Style" w:eastAsia="Arial" w:hAnsi="Bookman Old Style" w:cs="Arial"/>
          <w:color w:val="000000"/>
        </w:rPr>
        <w:t xml:space="preserve"> 450</w:t>
      </w:r>
      <w:r w:rsidRPr="009F37A1">
        <w:rPr>
          <w:rFonts w:ascii="Bookman Old Style" w:eastAsia="Arial" w:hAnsi="Bookman Old Style" w:cs="Arial"/>
          <w:color w:val="FF0000"/>
        </w:rPr>
        <w:t xml:space="preserve"> </w:t>
      </w:r>
      <w:r w:rsidRPr="009F37A1">
        <w:rPr>
          <w:rFonts w:ascii="Bookman Old Style" w:eastAsia="Arial" w:hAnsi="Bookman Old Style" w:cs="Arial"/>
          <w:color w:val="000000"/>
        </w:rPr>
        <w:t>novos assentos rebatíveis e ergonômicos.</w:t>
      </w:r>
    </w:p>
    <w:p w:rsidR="009F37A1" w:rsidRPr="009F37A1" w:rsidRDefault="009F37A1" w:rsidP="009F37A1">
      <w:pPr>
        <w:pStyle w:val="PargrafodaLista"/>
        <w:numPr>
          <w:ilvl w:val="0"/>
          <w:numId w:val="16"/>
        </w:numPr>
        <w:jc w:val="both"/>
        <w:rPr>
          <w:rFonts w:ascii="Bookman Old Style" w:eastAsia="Arial" w:hAnsi="Bookman Old Style" w:cs="Arial"/>
          <w:color w:val="000000"/>
        </w:rPr>
      </w:pPr>
      <w:r w:rsidRPr="009F37A1">
        <w:rPr>
          <w:rFonts w:ascii="Bookman Old Style" w:eastAsia="Arial" w:hAnsi="Bookman Old Style" w:cs="Arial"/>
          <w:color w:val="000000"/>
        </w:rPr>
        <w:t>Substituição completa do sistema de iluminação por tecnologia LED (interna e externa).</w:t>
      </w:r>
    </w:p>
    <w:p w:rsidR="009F37A1" w:rsidRPr="009F37A1" w:rsidRDefault="009F37A1" w:rsidP="009F37A1">
      <w:pPr>
        <w:pStyle w:val="PargrafodaLista"/>
        <w:numPr>
          <w:ilvl w:val="0"/>
          <w:numId w:val="16"/>
        </w:numPr>
        <w:jc w:val="both"/>
        <w:rPr>
          <w:rFonts w:ascii="Bookman Old Style" w:eastAsia="Arial" w:hAnsi="Bookman Old Style" w:cs="Arial"/>
          <w:color w:val="000000"/>
        </w:rPr>
      </w:pPr>
      <w:r w:rsidRPr="009F37A1">
        <w:rPr>
          <w:rFonts w:ascii="Bookman Old Style" w:eastAsia="Arial" w:hAnsi="Bookman Old Style" w:cs="Arial"/>
          <w:color w:val="000000"/>
        </w:rPr>
        <w:t>Adequação da acessibilidade e substituição das esquadrias do acesso principal e dos banheiros externos, incluindo a instalação de gradis de proteção contra vandalismo.</w:t>
      </w:r>
    </w:p>
    <w:p w:rsidR="009F37A1" w:rsidRPr="009F37A1" w:rsidRDefault="009F37A1" w:rsidP="009F37A1">
      <w:pPr>
        <w:pStyle w:val="PargrafodaLista"/>
        <w:numPr>
          <w:ilvl w:val="0"/>
          <w:numId w:val="16"/>
        </w:numPr>
        <w:jc w:val="both"/>
        <w:rPr>
          <w:rFonts w:ascii="Bookman Old Style" w:eastAsia="Arial" w:hAnsi="Bookman Old Style" w:cs="Arial"/>
          <w:color w:val="000000"/>
        </w:rPr>
      </w:pPr>
      <w:r w:rsidRPr="009F37A1">
        <w:rPr>
          <w:rFonts w:ascii="Bookman Old Style" w:eastAsia="Arial" w:hAnsi="Bookman Old Style" w:cs="Arial"/>
          <w:color w:val="000000"/>
        </w:rPr>
        <w:t>Reorganização do layout interno através da demolição da cabine de locução que obstrui a visibilidade.</w:t>
      </w:r>
    </w:p>
    <w:p w:rsidR="009F37A1" w:rsidRDefault="009F37A1" w:rsidP="009F37A1">
      <w:pPr>
        <w:jc w:val="both"/>
        <w:rPr>
          <w:rFonts w:ascii="Bookman Old Style" w:eastAsia="Arial" w:hAnsi="Bookman Old Style" w:cs="Arial"/>
          <w:color w:val="000000"/>
        </w:rPr>
      </w:pPr>
      <w:r w:rsidRPr="009F37A1">
        <w:rPr>
          <w:rFonts w:ascii="Bookman Old Style" w:eastAsia="Arial" w:hAnsi="Bookman Old Style" w:cs="Arial"/>
          <w:color w:val="000000"/>
        </w:rPr>
        <w:t>Os serviços deverão ser executados conforme elementos técnicos instrutores</w:t>
      </w:r>
      <w:r>
        <w:rPr>
          <w:rFonts w:ascii="Bookman Old Style" w:eastAsia="Arial" w:hAnsi="Bookman Old Style" w:cs="Arial"/>
          <w:color w:val="000000"/>
        </w:rPr>
        <w:t xml:space="preserve"> desenvolvido</w:t>
      </w:r>
      <w:r w:rsidR="00C513FE">
        <w:rPr>
          <w:rFonts w:ascii="Bookman Old Style" w:eastAsia="Arial" w:hAnsi="Bookman Old Style" w:cs="Arial"/>
          <w:color w:val="000000"/>
        </w:rPr>
        <w:t>s</w:t>
      </w:r>
      <w:r>
        <w:rPr>
          <w:rFonts w:ascii="Bookman Old Style" w:eastAsia="Arial" w:hAnsi="Bookman Old Style" w:cs="Arial"/>
          <w:color w:val="000000"/>
        </w:rPr>
        <w:t>: orçamento estimativo completo, croqui com serviços, memorial descritivo e memorial de cálculo</w:t>
      </w:r>
      <w:r w:rsidRPr="009F37A1">
        <w:rPr>
          <w:rFonts w:ascii="Bookman Old Style" w:eastAsia="Arial" w:hAnsi="Bookman Old Style" w:cs="Arial"/>
          <w:color w:val="000000"/>
        </w:rPr>
        <w:t>.</w:t>
      </w:r>
    </w:p>
    <w:p w:rsidR="009302A8" w:rsidRPr="00D320DD" w:rsidRDefault="00500A67" w:rsidP="009F37A1">
      <w:pPr>
        <w:jc w:val="both"/>
        <w:rPr>
          <w:rFonts w:ascii="Times New Roman" w:hAnsi="Times New Roman" w:cs="Times New Roman"/>
        </w:rPr>
      </w:pPr>
      <w:r w:rsidRPr="00D320DD">
        <w:rPr>
          <w:rFonts w:ascii="Times New Roman" w:hAnsi="Times New Roman" w:cs="Times New Roman"/>
          <w:b/>
          <w:u w:val="single"/>
        </w:rPr>
        <w:t xml:space="preserve">SEÇÃO </w:t>
      </w:r>
      <w:r w:rsidR="0083656E" w:rsidRPr="00D320DD">
        <w:rPr>
          <w:rFonts w:ascii="Times New Roman" w:hAnsi="Times New Roman" w:cs="Times New Roman"/>
          <w:b/>
          <w:u w:val="single"/>
        </w:rPr>
        <w:t xml:space="preserve"> </w:t>
      </w:r>
      <w:r w:rsidR="00BD2A0B" w:rsidRPr="00D320DD">
        <w:rPr>
          <w:rFonts w:ascii="Times New Roman" w:hAnsi="Times New Roman" w:cs="Times New Roman"/>
          <w:b/>
          <w:u w:val="single"/>
        </w:rPr>
        <w:t>8 –</w:t>
      </w:r>
      <w:r w:rsidR="0083656E" w:rsidRPr="00D320DD">
        <w:rPr>
          <w:rFonts w:ascii="Times New Roman" w:hAnsi="Times New Roman" w:cs="Times New Roman"/>
          <w:b/>
          <w:u w:val="single"/>
        </w:rPr>
        <w:t xml:space="preserve"> </w:t>
      </w:r>
      <w:r w:rsidR="00BD2A0B" w:rsidRPr="00D320DD">
        <w:rPr>
          <w:rFonts w:ascii="Times New Roman" w:hAnsi="Times New Roman" w:cs="Times New Roman"/>
          <w:b/>
          <w:u w:val="single"/>
        </w:rPr>
        <w:t>DAS JUSTIFICATIVAS PARA O PARCELAMENTO OU NÃO DA SOLUÇÃO</w:t>
      </w:r>
      <w:r w:rsidR="00721FBA" w:rsidRPr="00D320DD">
        <w:rPr>
          <w:rFonts w:ascii="Times New Roman" w:hAnsi="Times New Roman" w:cs="Times New Roman"/>
        </w:rPr>
        <w:t xml:space="preserve"> (inciso VII do Art. 59 do Decreto nº 3.927/2023 e inciso VIII do §1º do Art. 18 da Lei nº 14.133/2021).</w:t>
      </w:r>
    </w:p>
    <w:p w:rsidR="006B0734" w:rsidRPr="008D0410" w:rsidRDefault="006B0734" w:rsidP="006B0734">
      <w:pPr>
        <w:ind w:firstLine="284"/>
        <w:jc w:val="both"/>
        <w:rPr>
          <w:rFonts w:ascii="Bookman Old Style" w:eastAsia="Arial" w:hAnsi="Bookman Old Style" w:cs="Arial"/>
        </w:rPr>
      </w:pPr>
      <w:r w:rsidRPr="008D0410">
        <w:rPr>
          <w:rFonts w:ascii="Bookman Old Style" w:eastAsia="Arial" w:hAnsi="Bookman Old Style" w:cs="Arial"/>
        </w:rPr>
        <w:t>O objeto não poderá ser parcelado em razão da contratação da obra ser mais satisfatório do ponto de vista de eficiência técnica, por manter a qualidade da execução do objeto, haja vista que o gerenciamento e compatibilização dos andamento dos serviços permanecem o tempo todo a cargo de um mesmo administrador, ressaltando que oferece, também, um maior nível de controle pela Administração na execução dos serviços, cumprimento de cronograma e observância de prazos com a concentração da responsabilidade do contrato e garantia dos resultados em uma só pessoa.</w:t>
      </w:r>
    </w:p>
    <w:p w:rsidR="006B0734" w:rsidRPr="008D0410" w:rsidRDefault="006B0734" w:rsidP="006B0734">
      <w:pPr>
        <w:ind w:firstLine="284"/>
        <w:jc w:val="both"/>
        <w:rPr>
          <w:rFonts w:ascii="Bookman Old Style" w:eastAsia="Arial" w:hAnsi="Bookman Old Style" w:cs="Arial"/>
        </w:rPr>
      </w:pPr>
      <w:r w:rsidRPr="008D0410">
        <w:rPr>
          <w:rFonts w:ascii="Bookman Old Style" w:eastAsia="Arial" w:hAnsi="Bookman Old Style" w:cs="Arial"/>
        </w:rPr>
        <w:t>Ressalta-se que em contratações com serviços inter-relacionados, o atraso em uma etapa do objeto implica no prazo final de entrega dos serviços. Pelas razões expostas, recomendamos que a contratação não seja parcelada, por não ser vantajoso para a administração pública ou representar prejuízo ao conjunto ou ao complexo do objeto a ser contratado.</w:t>
      </w:r>
    </w:p>
    <w:p w:rsidR="006B0734" w:rsidRPr="008D0410" w:rsidRDefault="006B0734" w:rsidP="006B0734">
      <w:pPr>
        <w:jc w:val="both"/>
        <w:rPr>
          <w:rFonts w:ascii="Bookman Old Style" w:eastAsia="Arial" w:hAnsi="Bookman Old Style" w:cs="Arial"/>
          <w:b/>
        </w:rPr>
      </w:pPr>
    </w:p>
    <w:p w:rsidR="009302A8" w:rsidRPr="00D320DD" w:rsidRDefault="0083656E">
      <w:pPr>
        <w:jc w:val="both"/>
        <w:rPr>
          <w:rFonts w:ascii="Times New Roman" w:hAnsi="Times New Roman" w:cs="Times New Roman"/>
        </w:rPr>
      </w:pPr>
      <w:r w:rsidRPr="00D320DD">
        <w:rPr>
          <w:rFonts w:ascii="Times New Roman" w:hAnsi="Times New Roman" w:cs="Times New Roman"/>
          <w:b/>
          <w:u w:val="single"/>
        </w:rPr>
        <w:t xml:space="preserve">SEÇÃO </w:t>
      </w:r>
      <w:r w:rsidR="00B053A5" w:rsidRPr="00D320DD">
        <w:rPr>
          <w:rFonts w:ascii="Times New Roman" w:hAnsi="Times New Roman" w:cs="Times New Roman"/>
          <w:b/>
          <w:u w:val="single"/>
        </w:rPr>
        <w:t>9</w:t>
      </w:r>
      <w:r w:rsidRPr="00D320DD">
        <w:rPr>
          <w:rFonts w:ascii="Times New Roman" w:hAnsi="Times New Roman" w:cs="Times New Roman"/>
          <w:b/>
          <w:u w:val="single"/>
        </w:rPr>
        <w:t xml:space="preserve"> </w:t>
      </w:r>
      <w:r w:rsidR="00B053A5" w:rsidRPr="00D320DD">
        <w:rPr>
          <w:rFonts w:ascii="Times New Roman" w:hAnsi="Times New Roman" w:cs="Times New Roman"/>
          <w:b/>
          <w:u w:val="single"/>
        </w:rPr>
        <w:t>–</w:t>
      </w:r>
      <w:r w:rsidRPr="00D320DD">
        <w:rPr>
          <w:rFonts w:ascii="Times New Roman" w:hAnsi="Times New Roman" w:cs="Times New Roman"/>
          <w:b/>
          <w:u w:val="single"/>
        </w:rPr>
        <w:t xml:space="preserve"> </w:t>
      </w:r>
      <w:r w:rsidR="00B053A5" w:rsidRPr="00D320DD">
        <w:rPr>
          <w:rFonts w:ascii="Times New Roman" w:hAnsi="Times New Roman" w:cs="Times New Roman"/>
          <w:b/>
          <w:u w:val="single"/>
        </w:rPr>
        <w:t xml:space="preserve">DEMONSTRAÇÃO DOS </w:t>
      </w:r>
      <w:r w:rsidRPr="00D320DD">
        <w:rPr>
          <w:rFonts w:ascii="Times New Roman" w:hAnsi="Times New Roman" w:cs="Times New Roman"/>
          <w:b/>
          <w:u w:val="single"/>
        </w:rPr>
        <w:t>RESULTADOS PRETENDIDOS</w:t>
      </w:r>
      <w:r w:rsidR="00156351" w:rsidRPr="00D320DD">
        <w:rPr>
          <w:rFonts w:ascii="Times New Roman" w:hAnsi="Times New Roman" w:cs="Times New Roman"/>
        </w:rPr>
        <w:t xml:space="preserve"> (inciso X do Art. 59 do Decreto nº 3.927/2023 e inciso IX do §1º do Art. 18 da Lei nº 14.133/2021).</w:t>
      </w:r>
    </w:p>
    <w:p w:rsidR="008502C9" w:rsidRPr="008502C9" w:rsidRDefault="008502C9" w:rsidP="008502C9">
      <w:pPr>
        <w:ind w:firstLine="284"/>
        <w:jc w:val="both"/>
        <w:rPr>
          <w:rFonts w:ascii="Bookman Old Style" w:eastAsia="Arial" w:hAnsi="Bookman Old Style" w:cs="Arial"/>
          <w:b/>
          <w:color w:val="000000"/>
        </w:rPr>
      </w:pPr>
      <w:r w:rsidRPr="008502C9">
        <w:rPr>
          <w:rFonts w:ascii="Bookman Old Style" w:eastAsia="Arial" w:hAnsi="Bookman Old Style" w:cs="Arial"/>
          <w:b/>
          <w:color w:val="000000"/>
        </w:rPr>
        <w:t>Benefícios Operacionais, Segurança e Eficiência</w:t>
      </w:r>
    </w:p>
    <w:p w:rsidR="008502C9" w:rsidRPr="008502C9" w:rsidRDefault="008502C9" w:rsidP="008502C9">
      <w:pPr>
        <w:ind w:firstLine="284"/>
        <w:jc w:val="both"/>
        <w:rPr>
          <w:rFonts w:ascii="Bookman Old Style" w:eastAsia="Arial" w:hAnsi="Bookman Old Style" w:cs="Arial"/>
          <w:color w:val="000000"/>
        </w:rPr>
      </w:pPr>
      <w:r w:rsidRPr="008502C9">
        <w:rPr>
          <w:rFonts w:ascii="Bookman Old Style" w:eastAsia="Arial" w:hAnsi="Bookman Old Style" w:cs="Arial"/>
          <w:color w:val="000000"/>
        </w:rPr>
        <w:t>O resultado mais imediato pretendido com a reforma integral do ginásio poliesportivo é o restabelecimento da plena capacidade de uso do equipamento, eliminando os riscos operacionais. As intervenções de segurança, como o tratamento da estrutura metálica oxidada, a correção das fissuras nas arquibancadas e a substituição da cobertura, garantirão a integridade física do público e dos atletas, além de proteger a infraestrutura contra danos futuros. A modernização do sistema de iluminação para LED trará uma significativa eficiência energética, reduzindo os custos de manutenção e consumo, ao mesmo tempo que proporciona uma luz mais homogênea e de alta qualidade, essencial para a prática esportiva de alto desempenho e segurança visual.</w:t>
      </w:r>
    </w:p>
    <w:p w:rsidR="008502C9" w:rsidRPr="008502C9" w:rsidRDefault="008502C9" w:rsidP="008502C9">
      <w:pPr>
        <w:ind w:firstLine="284"/>
        <w:jc w:val="both"/>
        <w:rPr>
          <w:rFonts w:ascii="Bookman Old Style" w:eastAsia="Arial" w:hAnsi="Bookman Old Style" w:cs="Arial"/>
          <w:b/>
          <w:color w:val="000000"/>
        </w:rPr>
      </w:pPr>
      <w:r w:rsidRPr="008502C9">
        <w:rPr>
          <w:rFonts w:ascii="Bookman Old Style" w:eastAsia="Arial" w:hAnsi="Bookman Old Style" w:cs="Arial"/>
          <w:b/>
          <w:color w:val="000000"/>
        </w:rPr>
        <w:t>Impacto Social, Qualidade e Desenvolvimento Comunitário</w:t>
      </w:r>
    </w:p>
    <w:p w:rsidR="008502C9" w:rsidRDefault="008502C9" w:rsidP="008502C9">
      <w:pPr>
        <w:ind w:firstLine="284"/>
        <w:jc w:val="both"/>
        <w:rPr>
          <w:rFonts w:ascii="Bookman Old Style" w:eastAsia="Arial" w:hAnsi="Bookman Old Style" w:cs="Arial"/>
          <w:color w:val="000000"/>
        </w:rPr>
      </w:pPr>
      <w:r w:rsidRPr="008502C9">
        <w:rPr>
          <w:rFonts w:ascii="Bookman Old Style" w:eastAsia="Arial" w:hAnsi="Bookman Old Style" w:cs="Arial"/>
          <w:color w:val="000000"/>
        </w:rPr>
        <w:t>Adicionalmente, a reforma do ginásio produzirá um impacto social e de desenvolvimento de longo prazo para a comunidade. A adequação dos acessos, a instalação de assentos ergonômicos e a modernização estética do local elevam a qualidade do equipamento público, transformando o ginásio em um centro esportivo de referência que atrai e incentiva a participação em atividades de lazer, saúde e formação de atletas. Um ambiente renovado e seguro, livre de vandalismo, fortalece o senso de pertencimento e orgulho cívico, facilitando a organização de eventos maiores, atraindo o público regional e contribuindo diretamente para o desenvolvimento social e a promoção da qualidade de vida no município.</w:t>
      </w:r>
    </w:p>
    <w:p w:rsidR="009302A8" w:rsidRPr="00D320DD" w:rsidRDefault="0083656E">
      <w:pPr>
        <w:jc w:val="both"/>
        <w:rPr>
          <w:rFonts w:ascii="Times New Roman" w:hAnsi="Times New Roman" w:cs="Times New Roman"/>
        </w:rPr>
      </w:pPr>
      <w:r w:rsidRPr="00D320DD">
        <w:rPr>
          <w:rFonts w:ascii="Times New Roman" w:hAnsi="Times New Roman" w:cs="Times New Roman"/>
          <w:b/>
          <w:u w:val="single"/>
        </w:rPr>
        <w:t xml:space="preserve">SEÇÃO </w:t>
      </w:r>
      <w:r w:rsidR="007E4710" w:rsidRPr="00D320DD">
        <w:rPr>
          <w:rFonts w:ascii="Times New Roman" w:hAnsi="Times New Roman" w:cs="Times New Roman"/>
          <w:b/>
          <w:u w:val="single"/>
        </w:rPr>
        <w:t>10</w:t>
      </w:r>
      <w:r w:rsidRPr="00D320DD">
        <w:rPr>
          <w:rFonts w:ascii="Times New Roman" w:hAnsi="Times New Roman" w:cs="Times New Roman"/>
          <w:b/>
          <w:u w:val="single"/>
        </w:rPr>
        <w:t xml:space="preserve"> - PROVIDÊNCIAS PRÉVIAS A SEREM ADOTADAS PELA ADMINISTRAÇÃO</w:t>
      </w:r>
      <w:r w:rsidR="007E4710" w:rsidRPr="00D320DD">
        <w:rPr>
          <w:rFonts w:ascii="Times New Roman" w:hAnsi="Times New Roman" w:cs="Times New Roman"/>
        </w:rPr>
        <w:t xml:space="preserve"> (inciso XI do Art. 59 do Decreto nº 3.927/2023 e inciso X do §1º do Art. 18 da Lei nº 14.133/2021).</w:t>
      </w:r>
    </w:p>
    <w:p w:rsidR="009302A8" w:rsidRPr="00D320DD" w:rsidRDefault="00FB2F34">
      <w:pPr>
        <w:jc w:val="both"/>
        <w:rPr>
          <w:rFonts w:ascii="Times New Roman" w:hAnsi="Times New Roman" w:cs="Times New Roman"/>
        </w:rPr>
      </w:pPr>
      <w:r w:rsidRPr="00D320DD">
        <w:rPr>
          <w:rFonts w:ascii="Times New Roman" w:hAnsi="Times New Roman" w:cs="Times New Roman"/>
        </w:rPr>
        <w:t>10</w:t>
      </w:r>
      <w:r w:rsidR="0083656E" w:rsidRPr="00D320DD">
        <w:rPr>
          <w:rFonts w:ascii="Times New Roman" w:hAnsi="Times New Roman" w:cs="Times New Roman"/>
        </w:rPr>
        <w:t>.1. A Administração Pública deverá tomar todas as providências previamente à formalização da contratação, visando à disponibilização da solução contratada em sua plenitude e ao alcance das finalidades da contratação.</w:t>
      </w:r>
    </w:p>
    <w:p w:rsidR="009302A8" w:rsidRPr="00D320DD" w:rsidRDefault="00FB2F34">
      <w:pPr>
        <w:jc w:val="both"/>
        <w:rPr>
          <w:rFonts w:ascii="Times New Roman" w:hAnsi="Times New Roman" w:cs="Times New Roman"/>
        </w:rPr>
      </w:pPr>
      <w:r w:rsidRPr="00D320DD">
        <w:rPr>
          <w:rFonts w:ascii="Times New Roman" w:hAnsi="Times New Roman" w:cs="Times New Roman"/>
        </w:rPr>
        <w:t>10</w:t>
      </w:r>
      <w:r w:rsidR="0083656E" w:rsidRPr="00D320DD">
        <w:rPr>
          <w:rFonts w:ascii="Times New Roman" w:hAnsi="Times New Roman" w:cs="Times New Roman"/>
        </w:rPr>
        <w:t>.2. No que tange a necessidade de serem tomadas providências para adequação do ambiente da instituição, frisa-se que não há necessidade de adequação da organização para que a contratação surta seus efeitos.</w:t>
      </w:r>
    </w:p>
    <w:p w:rsidR="009302A8" w:rsidRPr="00D320DD" w:rsidRDefault="00FB2F34">
      <w:pPr>
        <w:jc w:val="both"/>
        <w:rPr>
          <w:rFonts w:ascii="Times New Roman" w:hAnsi="Times New Roman" w:cs="Times New Roman"/>
        </w:rPr>
      </w:pPr>
      <w:r w:rsidRPr="00D320DD">
        <w:rPr>
          <w:rFonts w:ascii="Times New Roman" w:hAnsi="Times New Roman" w:cs="Times New Roman"/>
        </w:rPr>
        <w:t>10</w:t>
      </w:r>
      <w:r w:rsidR="0083656E" w:rsidRPr="00D320DD">
        <w:rPr>
          <w:rFonts w:ascii="Times New Roman" w:hAnsi="Times New Roman" w:cs="Times New Roman"/>
        </w:rPr>
        <w:t>.3. Ademais, pela característica do objeto aqui tratado, há necessidade de capacitação de servidores para fiscalização e gestão contratual.</w:t>
      </w:r>
    </w:p>
    <w:p w:rsidR="009302A8" w:rsidRPr="00D320DD" w:rsidRDefault="0083656E">
      <w:pPr>
        <w:jc w:val="both"/>
        <w:rPr>
          <w:rFonts w:ascii="Times New Roman" w:hAnsi="Times New Roman" w:cs="Times New Roman"/>
        </w:rPr>
      </w:pPr>
      <w:r w:rsidRPr="00D320DD">
        <w:rPr>
          <w:rFonts w:ascii="Times New Roman" w:hAnsi="Times New Roman" w:cs="Times New Roman"/>
          <w:b/>
          <w:u w:val="single"/>
        </w:rPr>
        <w:t>SEÇÃO 1</w:t>
      </w:r>
      <w:r w:rsidR="00CA6440" w:rsidRPr="00D320DD">
        <w:rPr>
          <w:rFonts w:ascii="Times New Roman" w:hAnsi="Times New Roman" w:cs="Times New Roman"/>
          <w:b/>
          <w:u w:val="single"/>
        </w:rPr>
        <w:t>1</w:t>
      </w:r>
      <w:r w:rsidRPr="00D320DD">
        <w:rPr>
          <w:rFonts w:ascii="Times New Roman" w:hAnsi="Times New Roman" w:cs="Times New Roman"/>
          <w:b/>
          <w:u w:val="single"/>
        </w:rPr>
        <w:t xml:space="preserve"> - CONTRATAÇÕES CORRELATAS OU INTERDEPENDENTES</w:t>
      </w:r>
      <w:r w:rsidR="00CA6440" w:rsidRPr="00D320DD">
        <w:rPr>
          <w:rFonts w:ascii="Times New Roman" w:hAnsi="Times New Roman" w:cs="Times New Roman"/>
        </w:rPr>
        <w:t xml:space="preserve"> (inciso VIII do Art. 59 do Decreto nº 3.927/2023 e inciso XI do §1º do Art. 18 da Lei nº 14.133/2021).</w:t>
      </w:r>
    </w:p>
    <w:p w:rsidR="009302A8" w:rsidRDefault="0083656E">
      <w:pPr>
        <w:jc w:val="both"/>
        <w:rPr>
          <w:rFonts w:ascii="Times New Roman" w:hAnsi="Times New Roman" w:cs="Times New Roman"/>
        </w:rPr>
      </w:pPr>
      <w:r w:rsidRPr="00D320DD">
        <w:rPr>
          <w:rFonts w:ascii="Times New Roman" w:hAnsi="Times New Roman" w:cs="Times New Roman"/>
        </w:rPr>
        <w:t>1</w:t>
      </w:r>
      <w:r w:rsidR="00CC6D9F">
        <w:rPr>
          <w:rFonts w:ascii="Times New Roman" w:hAnsi="Times New Roman" w:cs="Times New Roman"/>
        </w:rPr>
        <w:t>1</w:t>
      </w:r>
      <w:r w:rsidRPr="00D320DD">
        <w:rPr>
          <w:rFonts w:ascii="Times New Roman" w:hAnsi="Times New Roman" w:cs="Times New Roman"/>
        </w:rPr>
        <w:t xml:space="preserve">.1. Para atendimento da finalidade da contratação, </w:t>
      </w:r>
      <w:r w:rsidR="00BC79D8" w:rsidRPr="00D320DD">
        <w:rPr>
          <w:rFonts w:ascii="Times New Roman" w:hAnsi="Times New Roman" w:cs="Times New Roman"/>
        </w:rPr>
        <w:t>n</w:t>
      </w:r>
      <w:r w:rsidRPr="00D320DD">
        <w:rPr>
          <w:rFonts w:ascii="Times New Roman" w:hAnsi="Times New Roman" w:cs="Times New Roman"/>
        </w:rPr>
        <w:t xml:space="preserve">ão </w:t>
      </w:r>
      <w:r w:rsidR="00BC79D8" w:rsidRPr="00D320DD">
        <w:rPr>
          <w:rFonts w:ascii="Times New Roman" w:hAnsi="Times New Roman" w:cs="Times New Roman"/>
        </w:rPr>
        <w:t xml:space="preserve">há </w:t>
      </w:r>
      <w:r w:rsidRPr="00D320DD">
        <w:rPr>
          <w:rFonts w:ascii="Times New Roman" w:hAnsi="Times New Roman" w:cs="Times New Roman"/>
        </w:rPr>
        <w:t>contratações correlatas e/ou interdepe</w:t>
      </w:r>
      <w:r w:rsidR="00F65865" w:rsidRPr="00D320DD">
        <w:rPr>
          <w:rFonts w:ascii="Times New Roman" w:hAnsi="Times New Roman" w:cs="Times New Roman"/>
        </w:rPr>
        <w:t>ndentes da presente contratação.</w:t>
      </w:r>
    </w:p>
    <w:p w:rsidR="00433C14" w:rsidRDefault="00433C14" w:rsidP="00851DA0">
      <w:pPr>
        <w:jc w:val="both"/>
        <w:rPr>
          <w:rFonts w:ascii="Times New Roman" w:hAnsi="Times New Roman" w:cs="Times New Roman"/>
          <w:b/>
          <w:u w:val="single"/>
        </w:rPr>
      </w:pPr>
    </w:p>
    <w:p w:rsidR="00851DA0" w:rsidRPr="00D320DD" w:rsidRDefault="00851DA0" w:rsidP="00851DA0">
      <w:pPr>
        <w:jc w:val="both"/>
        <w:rPr>
          <w:rFonts w:ascii="Times New Roman" w:hAnsi="Times New Roman" w:cs="Times New Roman"/>
        </w:rPr>
      </w:pPr>
      <w:r w:rsidRPr="00D320DD">
        <w:rPr>
          <w:rFonts w:ascii="Times New Roman" w:hAnsi="Times New Roman" w:cs="Times New Roman"/>
          <w:b/>
          <w:u w:val="single"/>
        </w:rPr>
        <w:t>SEÇÃO 12 - POSSÍVEIS IMPACTOS AMBIENTAIS E MEDIDAS MITIGADORAS</w:t>
      </w:r>
      <w:r w:rsidRPr="00D320DD">
        <w:rPr>
          <w:rFonts w:ascii="Times New Roman" w:hAnsi="Times New Roman" w:cs="Times New Roman"/>
        </w:rPr>
        <w:t xml:space="preserve"> (inciso XII do Art. 59 do Decreto nº 3.927/2023 e inciso XII do §1º do Art. 18 da Lei nº 14.133/2021).</w:t>
      </w:r>
    </w:p>
    <w:p w:rsidR="00C84B75" w:rsidRPr="008D0410" w:rsidRDefault="00C84B75" w:rsidP="00C84B75">
      <w:pPr>
        <w:ind w:firstLine="284"/>
        <w:jc w:val="both"/>
        <w:rPr>
          <w:rFonts w:ascii="Bookman Old Style" w:eastAsia="Arial" w:hAnsi="Bookman Old Style" w:cs="Arial"/>
        </w:rPr>
      </w:pPr>
      <w:r w:rsidRPr="008D0410">
        <w:rPr>
          <w:rFonts w:ascii="Bookman Old Style" w:eastAsia="Arial" w:hAnsi="Bookman Old Style" w:cs="Arial"/>
        </w:rPr>
        <w:t>Os serviços prestados pela empresa contratada deverão fundamentar-se no uso racional de recursos e equipamentos, de forma a evitar e prevenir o desperdício de insumos e material consumidos, bem como a geração de resíduos, além do desperdício de água e consumo excessivo de energia. Sempre que possível fazer uso de energia renovável.</w:t>
      </w:r>
    </w:p>
    <w:p w:rsidR="00C84B75" w:rsidRPr="008D0410" w:rsidRDefault="00C84B75" w:rsidP="00C84B75">
      <w:pPr>
        <w:ind w:firstLine="284"/>
        <w:jc w:val="both"/>
        <w:rPr>
          <w:rFonts w:ascii="Bookman Old Style" w:eastAsia="Arial" w:hAnsi="Bookman Old Style" w:cs="Arial"/>
        </w:rPr>
      </w:pPr>
      <w:r w:rsidRPr="008D0410">
        <w:rPr>
          <w:rFonts w:ascii="Bookman Old Style" w:eastAsia="Arial" w:hAnsi="Bookman Old Style" w:cs="Arial"/>
        </w:rPr>
        <w:t>É responsabilidade da Contratada observar e cumprir a legislação vigente para disposição adequada dos resíduos.</w:t>
      </w:r>
    </w:p>
    <w:p w:rsidR="00FC0D4A" w:rsidRPr="008849C3" w:rsidRDefault="00FC0D4A" w:rsidP="00FC0D4A">
      <w:pPr>
        <w:jc w:val="both"/>
        <w:rPr>
          <w:rFonts w:ascii="Times New Roman" w:hAnsi="Times New Roman" w:cs="Times New Roman"/>
        </w:rPr>
      </w:pPr>
      <w:r w:rsidRPr="008849C3">
        <w:rPr>
          <w:rFonts w:ascii="Times New Roman" w:hAnsi="Times New Roman" w:cs="Times New Roman"/>
          <w:b/>
          <w:u w:val="single"/>
        </w:rPr>
        <w:t xml:space="preserve">SEÇÃO 13 – </w:t>
      </w:r>
      <w:r w:rsidR="00851DA0" w:rsidRPr="008849C3">
        <w:rPr>
          <w:rFonts w:ascii="Times New Roman" w:hAnsi="Times New Roman" w:cs="Times New Roman"/>
          <w:b/>
          <w:u w:val="single"/>
        </w:rPr>
        <w:t xml:space="preserve">POSICIONAMENTO CONCLUSIVO SOBRE A ADEQUAÇÃO </w:t>
      </w:r>
      <w:r w:rsidR="00A31CE4" w:rsidRPr="008849C3">
        <w:rPr>
          <w:rFonts w:ascii="Times New Roman" w:hAnsi="Times New Roman" w:cs="Times New Roman"/>
          <w:b/>
          <w:u w:val="single"/>
        </w:rPr>
        <w:t xml:space="preserve">DA VIABILIDADE DA </w:t>
      </w:r>
      <w:r w:rsidRPr="008849C3">
        <w:rPr>
          <w:rFonts w:ascii="Times New Roman" w:hAnsi="Times New Roman" w:cs="Times New Roman"/>
          <w:b/>
          <w:u w:val="single"/>
        </w:rPr>
        <w:t>CONTRATAÇÃO</w:t>
      </w:r>
      <w:r w:rsidR="00851DA0" w:rsidRPr="008849C3">
        <w:rPr>
          <w:rFonts w:ascii="Times New Roman" w:hAnsi="Times New Roman" w:cs="Times New Roman"/>
        </w:rPr>
        <w:t xml:space="preserve"> (inciso XIII do Art. 59 do Decreto nº 3.927/2023 e inciso XIII do §1º do Art. 18 da Lei nº 14.133/2021).</w:t>
      </w:r>
    </w:p>
    <w:p w:rsidR="00EF0946" w:rsidRDefault="00EF0946" w:rsidP="00EF0946">
      <w:pPr>
        <w:pBdr>
          <w:top w:val="nil"/>
          <w:left w:val="nil"/>
          <w:bottom w:val="nil"/>
          <w:right w:val="nil"/>
          <w:between w:val="nil"/>
        </w:pBdr>
        <w:ind w:firstLine="284"/>
        <w:jc w:val="both"/>
        <w:rPr>
          <w:rFonts w:ascii="Arial" w:eastAsia="Arial" w:hAnsi="Arial" w:cs="Arial"/>
        </w:rPr>
      </w:pPr>
      <w:r w:rsidRPr="008849C3">
        <w:rPr>
          <w:rFonts w:ascii="Arial" w:eastAsia="Arial" w:hAnsi="Arial" w:cs="Arial"/>
        </w:rPr>
        <w:t>A contratação configura viável e necessária, tendo os estudos preliminares evidenciado que a solução é possível, técnica e economicamente.</w:t>
      </w:r>
    </w:p>
    <w:p w:rsidR="009302A8" w:rsidRPr="0018215E" w:rsidRDefault="0083656E">
      <w:pPr>
        <w:jc w:val="both"/>
        <w:rPr>
          <w:rFonts w:ascii="Times New Roman" w:hAnsi="Times New Roman" w:cs="Times New Roman"/>
        </w:rPr>
      </w:pPr>
      <w:r w:rsidRPr="0018215E">
        <w:rPr>
          <w:rFonts w:ascii="Times New Roman" w:hAnsi="Times New Roman" w:cs="Times New Roman"/>
        </w:rPr>
        <w:t>Versão do Doc. Padrão 0</w:t>
      </w:r>
      <w:r w:rsidR="004045E6">
        <w:rPr>
          <w:rFonts w:ascii="Times New Roman" w:hAnsi="Times New Roman" w:cs="Times New Roman"/>
        </w:rPr>
        <w:t>1</w:t>
      </w:r>
      <w:r w:rsidR="00FC0D4A" w:rsidRPr="0018215E">
        <w:rPr>
          <w:rFonts w:ascii="Times New Roman" w:hAnsi="Times New Roman" w:cs="Times New Roman"/>
        </w:rPr>
        <w:t>/2024</w:t>
      </w:r>
    </w:p>
    <w:p w:rsidR="009302A8" w:rsidRPr="002B7B2F" w:rsidRDefault="00FC0D4A">
      <w:pPr>
        <w:jc w:val="both"/>
        <w:rPr>
          <w:rFonts w:ascii="Times New Roman" w:hAnsi="Times New Roman" w:cs="Times New Roman"/>
          <w:color w:val="FF0000"/>
        </w:rPr>
      </w:pPr>
      <w:r w:rsidRPr="0018215E">
        <w:rPr>
          <w:rFonts w:ascii="Times New Roman" w:hAnsi="Times New Roman" w:cs="Times New Roman"/>
        </w:rPr>
        <w:t>São Jorge D’Oeste – PR, aos</w:t>
      </w:r>
      <w:r w:rsidRPr="006E5C2C">
        <w:rPr>
          <w:rFonts w:ascii="Times New Roman" w:hAnsi="Times New Roman" w:cs="Times New Roman"/>
        </w:rPr>
        <w:t xml:space="preserve"> </w:t>
      </w:r>
      <w:r w:rsidR="00A41952">
        <w:rPr>
          <w:rFonts w:ascii="Times New Roman" w:hAnsi="Times New Roman" w:cs="Times New Roman"/>
        </w:rPr>
        <w:t>06</w:t>
      </w:r>
      <w:r w:rsidR="002B7B2F" w:rsidRPr="006E5C2C">
        <w:rPr>
          <w:rFonts w:ascii="Times New Roman" w:hAnsi="Times New Roman" w:cs="Times New Roman"/>
        </w:rPr>
        <w:t xml:space="preserve"> </w:t>
      </w:r>
      <w:r w:rsidRPr="006E5C2C">
        <w:rPr>
          <w:rFonts w:ascii="Times New Roman" w:hAnsi="Times New Roman" w:cs="Times New Roman"/>
        </w:rPr>
        <w:t>dias do mês de</w:t>
      </w:r>
      <w:r w:rsidR="005E12DB">
        <w:rPr>
          <w:rFonts w:ascii="Times New Roman" w:hAnsi="Times New Roman" w:cs="Times New Roman"/>
        </w:rPr>
        <w:t xml:space="preserve"> NOVEMBRO</w:t>
      </w:r>
      <w:r w:rsidRPr="006E5C2C">
        <w:rPr>
          <w:rFonts w:ascii="Times New Roman" w:hAnsi="Times New Roman" w:cs="Times New Roman"/>
        </w:rPr>
        <w:t xml:space="preserve"> de </w:t>
      </w:r>
      <w:r w:rsidR="0083656E" w:rsidRPr="006E5C2C">
        <w:rPr>
          <w:rFonts w:ascii="Times New Roman" w:hAnsi="Times New Roman" w:cs="Times New Roman"/>
        </w:rPr>
        <w:t>202</w:t>
      </w:r>
      <w:r w:rsidR="007B2D8C" w:rsidRPr="006E5C2C">
        <w:rPr>
          <w:rFonts w:ascii="Times New Roman" w:hAnsi="Times New Roman" w:cs="Times New Roman"/>
        </w:rPr>
        <w:t>5</w:t>
      </w:r>
      <w:r w:rsidR="0083656E" w:rsidRPr="006E5C2C">
        <w:rPr>
          <w:rFonts w:ascii="Times New Roman" w:hAnsi="Times New Roman" w:cs="Times New Roman"/>
        </w:rPr>
        <w:t>.</w:t>
      </w:r>
    </w:p>
    <w:p w:rsidR="009F5067" w:rsidRDefault="009F5067" w:rsidP="006A19D9">
      <w:pPr>
        <w:jc w:val="both"/>
        <w:rPr>
          <w:rFonts w:ascii="Times New Roman" w:hAnsi="Times New Roman" w:cs="Times New Roman"/>
        </w:rPr>
      </w:pPr>
    </w:p>
    <w:p w:rsidR="009F5067" w:rsidRDefault="009F5067" w:rsidP="006A19D9">
      <w:pPr>
        <w:jc w:val="both"/>
        <w:rPr>
          <w:rFonts w:ascii="Times New Roman" w:hAnsi="Times New Roman" w:cs="Times New Roman"/>
        </w:rPr>
      </w:pPr>
    </w:p>
    <w:p w:rsidR="009F5067" w:rsidRDefault="009F5067" w:rsidP="006A19D9">
      <w:pPr>
        <w:jc w:val="both"/>
        <w:rPr>
          <w:rFonts w:ascii="Times New Roman" w:hAnsi="Times New Roman" w:cs="Times New Roman"/>
        </w:rPr>
      </w:pPr>
    </w:p>
    <w:p w:rsidR="006A19D9" w:rsidRPr="0018215E" w:rsidRDefault="00EF0946" w:rsidP="006A19D9">
      <w:pPr>
        <w:jc w:val="both"/>
        <w:rPr>
          <w:rFonts w:ascii="Times New Roman" w:hAnsi="Times New Roman" w:cs="Times New Roman"/>
        </w:rPr>
      </w:pPr>
      <w:r w:rsidRPr="00F062AB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EA5383" wp14:editId="4C928176">
                <wp:simplePos x="0" y="0"/>
                <wp:positionH relativeFrom="margin">
                  <wp:align>center</wp:align>
                </wp:positionH>
                <wp:positionV relativeFrom="paragraph">
                  <wp:posOffset>319405</wp:posOffset>
                </wp:positionV>
                <wp:extent cx="2366645" cy="962025"/>
                <wp:effectExtent l="0" t="0" r="0" b="0"/>
                <wp:wrapNone/>
                <wp:docPr id="16" name="Caixa de Tex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6645" cy="96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F0946" w:rsidRPr="0088217F" w:rsidRDefault="005E12DB" w:rsidP="00EF094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8217F">
                              <w:rPr>
                                <w:b/>
                              </w:rPr>
                              <w:t>Leandro Henrique Mazutti</w:t>
                            </w:r>
                          </w:p>
                          <w:p w:rsidR="00EF0946" w:rsidRPr="0088217F" w:rsidRDefault="00EF0946" w:rsidP="00EF094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8217F">
                              <w:rPr>
                                <w:b/>
                              </w:rPr>
                              <w:t>Engº Civil</w:t>
                            </w:r>
                            <w:r w:rsidR="005E12DB" w:rsidRPr="0088217F">
                              <w:rPr>
                                <w:b/>
                              </w:rPr>
                              <w:t xml:space="preserve"> </w:t>
                            </w:r>
                            <w:r w:rsidRPr="0088217F">
                              <w:rPr>
                                <w:b/>
                              </w:rPr>
                              <w:t>CREA/PR n1</w:t>
                            </w:r>
                            <w:r w:rsidR="005E12DB" w:rsidRPr="0088217F">
                              <w:rPr>
                                <w:b/>
                              </w:rPr>
                              <w:t>61264</w:t>
                            </w:r>
                            <w:r w:rsidRPr="0088217F">
                              <w:rPr>
                                <w:b/>
                              </w:rPr>
                              <w:t>/D</w:t>
                            </w:r>
                          </w:p>
                          <w:p w:rsidR="00EF0946" w:rsidRPr="0088217F" w:rsidRDefault="005E12DB" w:rsidP="00EF094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8217F">
                              <w:rPr>
                                <w:b/>
                              </w:rPr>
                              <w:t>Decreto- 4747/2025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EA5383" id="_x0000_t202" coordsize="21600,21600" o:spt="202" path="m,l,21600r21600,l21600,xe">
                <v:stroke joinstyle="miter"/>
                <v:path gradientshapeok="t" o:connecttype="rect"/>
              </v:shapetype>
              <v:shape id="Caixa de Texto 16" o:spid="_x0000_s1026" type="#_x0000_t202" style="position:absolute;left:0;text-align:left;margin-left:0;margin-top:25.15pt;width:186.35pt;height:75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" filled="f" stroked="f" strokeweight=".5pt">
                <v:textbox>
                  <w:txbxContent>
                    <w:p w:rsidR="00EF0946" w:rsidRPr="0088217F" w:rsidRDefault="005E12DB" w:rsidP="00EF0946">
                      <w:pPr>
                        <w:jc w:val="center"/>
                        <w:rPr>
                          <w:b/>
                        </w:rPr>
                      </w:pPr>
                      <w:r w:rsidRPr="0088217F">
                        <w:rPr>
                          <w:b/>
                        </w:rPr>
                        <w:t>Leandro Henrique Mazutti</w:t>
                      </w:r>
                    </w:p>
                    <w:p w:rsidR="00EF0946" w:rsidRPr="0088217F" w:rsidRDefault="00EF0946" w:rsidP="00EF0946">
                      <w:pPr>
                        <w:jc w:val="center"/>
                        <w:rPr>
                          <w:b/>
                        </w:rPr>
                      </w:pPr>
                      <w:r w:rsidRPr="0088217F">
                        <w:rPr>
                          <w:b/>
                        </w:rPr>
                        <w:t>Engº Civil</w:t>
                      </w:r>
                      <w:r w:rsidR="005E12DB" w:rsidRPr="0088217F">
                        <w:rPr>
                          <w:b/>
                        </w:rPr>
                        <w:t xml:space="preserve"> </w:t>
                      </w:r>
                      <w:r w:rsidRPr="0088217F">
                        <w:rPr>
                          <w:b/>
                        </w:rPr>
                        <w:t>CREA/PR n1</w:t>
                      </w:r>
                      <w:r w:rsidR="005E12DB" w:rsidRPr="0088217F">
                        <w:rPr>
                          <w:b/>
                        </w:rPr>
                        <w:t>61264</w:t>
                      </w:r>
                      <w:r w:rsidRPr="0088217F">
                        <w:rPr>
                          <w:b/>
                        </w:rPr>
                        <w:t>/D</w:t>
                      </w:r>
                    </w:p>
                    <w:p w:rsidR="00EF0946" w:rsidRPr="0088217F" w:rsidRDefault="005E12DB" w:rsidP="00EF0946">
                      <w:pPr>
                        <w:jc w:val="center"/>
                        <w:rPr>
                          <w:b/>
                        </w:rPr>
                      </w:pPr>
                      <w:r w:rsidRPr="0088217F">
                        <w:rPr>
                          <w:b/>
                        </w:rPr>
                        <w:t>Decreto- 4747/2025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6A19D9" w:rsidRPr="0018215E" w:rsidSect="008A6369">
      <w:headerReference w:type="default" r:id="rId9"/>
      <w:footerReference w:type="default" r:id="rId10"/>
      <w:pgSz w:w="11906" w:h="16838"/>
      <w:pgMar w:top="1701" w:right="1701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2DD" w:rsidRDefault="00CF22DD">
      <w:pPr>
        <w:spacing w:after="0" w:line="240" w:lineRule="auto"/>
      </w:pPr>
      <w:r>
        <w:separator/>
      </w:r>
    </w:p>
  </w:endnote>
  <w:endnote w:type="continuationSeparator" w:id="0">
    <w:p w:rsidR="00CF22DD" w:rsidRDefault="00CF2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10708171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067C" w:rsidRPr="007B5385" w:rsidRDefault="0035067C" w:rsidP="008B27CE">
            <w:pPr>
              <w:pStyle w:val="Rodap"/>
              <w:rPr>
                <w:color w:val="8496B0" w:themeColor="text2" w:themeTint="99"/>
                <w:spacing w:val="60"/>
                <w:sz w:val="16"/>
                <w:szCs w:val="16"/>
              </w:rPr>
            </w:pPr>
            <w:r>
              <w:rPr>
                <w:color w:val="8496B0" w:themeColor="text2" w:themeTint="99"/>
                <w:spacing w:val="60"/>
              </w:rPr>
              <w:tab/>
            </w:r>
            <w:r>
              <w:rPr>
                <w:color w:val="8496B0" w:themeColor="text2" w:themeTint="99"/>
                <w:spacing w:val="60"/>
              </w:rPr>
              <w:tab/>
            </w:r>
          </w:p>
          <w:p w:rsidR="0035067C" w:rsidRPr="00F64FEB" w:rsidRDefault="0035067C" w:rsidP="008B27CE">
            <w:pPr>
              <w:pStyle w:val="Rodap"/>
              <w:rPr>
                <w:rFonts w:ascii="Times New Roman" w:hAnsi="Times New Roman" w:cs="Times New Roman"/>
                <w:sz w:val="12"/>
                <w:szCs w:val="12"/>
              </w:rPr>
            </w:pPr>
            <w:r w:rsidRPr="00F64FEB">
              <w:rPr>
                <w:rFonts w:ascii="Times New Roman" w:hAnsi="Times New Roman" w:cs="Times New Roman"/>
                <w:sz w:val="12"/>
                <w:szCs w:val="12"/>
              </w:rPr>
              <w:t>Câmara Nacional de Modelos de Licitações e Contratos da Consultoria-Geral da União</w:t>
            </w:r>
          </w:p>
          <w:p w:rsidR="0035067C" w:rsidRPr="00F64FEB" w:rsidRDefault="0035067C" w:rsidP="008B27CE">
            <w:pPr>
              <w:pStyle w:val="Rodap"/>
              <w:rPr>
                <w:rFonts w:ascii="Times New Roman" w:hAnsi="Times New Roman" w:cs="Times New Roman"/>
                <w:sz w:val="12"/>
                <w:szCs w:val="12"/>
              </w:rPr>
            </w:pPr>
            <w:r w:rsidRPr="00F64FEB">
              <w:rPr>
                <w:rFonts w:ascii="Times New Roman" w:hAnsi="Times New Roman" w:cs="Times New Roman"/>
                <w:sz w:val="12"/>
                <w:szCs w:val="12"/>
              </w:rPr>
              <w:t>Atualização: dezembro/2023</w:t>
            </w:r>
          </w:p>
          <w:p w:rsidR="0035067C" w:rsidRPr="004045E6" w:rsidRDefault="0035067C" w:rsidP="008B27CE">
            <w:pPr>
              <w:pStyle w:val="Rodap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Estudo Técnico </w:t>
            </w:r>
            <w:r w:rsidRPr="004045E6">
              <w:rPr>
                <w:rFonts w:ascii="Times New Roman" w:hAnsi="Times New Roman" w:cs="Times New Roman"/>
                <w:sz w:val="12"/>
                <w:szCs w:val="12"/>
              </w:rPr>
              <w:t>Preliminar Aquisições e Serviços sem mão de obra</w:t>
            </w:r>
          </w:p>
          <w:p w:rsidR="0035067C" w:rsidRPr="00F64FEB" w:rsidRDefault="0035067C" w:rsidP="008B27CE">
            <w:pPr>
              <w:pStyle w:val="Rodap"/>
              <w:rPr>
                <w:rFonts w:ascii="Times New Roman" w:hAnsi="Times New Roman" w:cs="Times New Roman"/>
                <w:color w:val="222A35" w:themeColor="text2" w:themeShade="80"/>
                <w:sz w:val="16"/>
                <w:szCs w:val="16"/>
              </w:rPr>
            </w:pPr>
            <w:r w:rsidRPr="00F64FEB">
              <w:rPr>
                <w:rFonts w:ascii="Times New Roman" w:hAnsi="Times New Roman" w:cs="Times New Roman"/>
                <w:sz w:val="12"/>
                <w:szCs w:val="12"/>
              </w:rPr>
              <w:t>Para Pregão Eletrônico</w:t>
            </w:r>
            <w:r w:rsidRPr="00F64FEB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F64FEB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:rsidR="0035067C" w:rsidRPr="00F64FEB" w:rsidRDefault="0035067C" w:rsidP="008B27CE">
            <w:pPr>
              <w:pStyle w:val="Rodap"/>
              <w:rPr>
                <w:rFonts w:ascii="Times New Roman" w:hAnsi="Times New Roman" w:cs="Times New Roman"/>
                <w:sz w:val="12"/>
                <w:szCs w:val="12"/>
              </w:rPr>
            </w:pPr>
            <w:r w:rsidRPr="00F64FEB">
              <w:rPr>
                <w:rFonts w:ascii="Times New Roman" w:hAnsi="Times New Roman" w:cs="Times New Roman"/>
                <w:sz w:val="12"/>
                <w:szCs w:val="12"/>
              </w:rPr>
              <w:t>Aprovado pela Equipe de Contratação - São Jorge D’Oeste/PR</w:t>
            </w:r>
          </w:p>
          <w:p w:rsidR="0035067C" w:rsidRPr="00307424" w:rsidRDefault="0035067C" w:rsidP="008B27CE">
            <w:pPr>
              <w:pStyle w:val="Rodap"/>
              <w:jc w:val="right"/>
              <w:rPr>
                <w:sz w:val="16"/>
                <w:szCs w:val="16"/>
              </w:rPr>
            </w:pPr>
            <w:r w:rsidRPr="00F64FEB">
              <w:rPr>
                <w:rFonts w:ascii="Times New Roman" w:hAnsi="Times New Roman" w:cs="Times New Roman"/>
                <w:sz w:val="16"/>
                <w:szCs w:val="16"/>
              </w:rPr>
              <w:t xml:space="preserve">Página </w:t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EF1CFA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11</w:t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F64FEB">
              <w:rPr>
                <w:rFonts w:ascii="Times New Roman" w:hAnsi="Times New Roman" w:cs="Times New Roman"/>
                <w:sz w:val="16"/>
                <w:szCs w:val="16"/>
              </w:rPr>
              <w:t xml:space="preserve"> de </w:t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EF1CFA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14</w:t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067C" w:rsidRDefault="0035067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2DD" w:rsidRDefault="00CF22DD">
      <w:pPr>
        <w:spacing w:after="0" w:line="240" w:lineRule="auto"/>
      </w:pPr>
      <w:r>
        <w:separator/>
      </w:r>
    </w:p>
  </w:footnote>
  <w:footnote w:type="continuationSeparator" w:id="0">
    <w:p w:rsidR="00CF22DD" w:rsidRDefault="00CF22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67C" w:rsidRDefault="0035067C" w:rsidP="00C87226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6228E4" wp14:editId="42C776A3">
              <wp:simplePos x="0" y="0"/>
              <wp:positionH relativeFrom="column">
                <wp:posOffset>2453640</wp:posOffset>
              </wp:positionH>
              <wp:positionV relativeFrom="paragraph">
                <wp:posOffset>-182881</wp:posOffset>
              </wp:positionV>
              <wp:extent cx="2838450" cy="790575"/>
              <wp:effectExtent l="0" t="0" r="19050" b="28575"/>
              <wp:wrapNone/>
              <wp:docPr id="30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8450" cy="790575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5067C" w:rsidRPr="0018215E" w:rsidRDefault="0035067C" w:rsidP="00C87226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18215E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ES</w:t>
                          </w:r>
                          <w:r w:rsidR="00210180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 xml:space="preserve">TUDO TÉCNICO PRELIMINAR     Nº </w:t>
                          </w:r>
                          <w:r w:rsidR="00FE4D42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122</w:t>
                          </w:r>
                          <w:r w:rsidRPr="0018215E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/202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5 SECRETARIA DE OBRAS, INFRAESTRUTURA RURAL E SERVIÇOS URBANOS</w:t>
                          </w:r>
                        </w:p>
                        <w:p w:rsidR="0035067C" w:rsidRPr="0018215E" w:rsidRDefault="0035067C" w:rsidP="00C87226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18215E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Padronização 01/2024 – Modelo aprovado pela Secretaria de Administração e pela Controladoria Interna. Outubro/2024.</w:t>
                          </w:r>
                        </w:p>
                        <w:p w:rsidR="0035067C" w:rsidRPr="0018215E" w:rsidRDefault="0035067C" w:rsidP="00C87226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6228E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193.2pt;margin-top:-14.4pt;width:223.5pt;height:6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" fillcolor="white [3201]" strokecolor="black [3200]" strokeweight="1pt">
              <v:textbox>
                <w:txbxContent>
                  <w:p w:rsidR="0035067C" w:rsidRPr="0018215E" w:rsidRDefault="0035067C" w:rsidP="00C87226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8215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ES</w:t>
                    </w:r>
                    <w:r w:rsidR="00210180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TUDO TÉCNICO PRELIMINAR     Nº </w:t>
                    </w:r>
                    <w:r w:rsidR="00FE4D42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122</w:t>
                    </w:r>
                    <w:r w:rsidRPr="0018215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/202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5 SECRETARIA DE OBRAS, INFRAESTRUTURA RURAL E SERVIÇOS URBANOS</w:t>
                    </w:r>
                  </w:p>
                  <w:p w:rsidR="0035067C" w:rsidRPr="0018215E" w:rsidRDefault="0035067C" w:rsidP="00C87226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18215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Padronização 01/2024 – Modelo aprovado pela Secretaria de Administração e pela Controladoria Interna. Outubro/2024.</w:t>
                    </w:r>
                  </w:p>
                  <w:p w:rsidR="0035067C" w:rsidRPr="0018215E" w:rsidRDefault="0035067C" w:rsidP="00C87226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791F33D0" wp14:editId="3D13A248">
          <wp:simplePos x="0" y="0"/>
          <wp:positionH relativeFrom="margin">
            <wp:posOffset>24765</wp:posOffset>
          </wp:positionH>
          <wp:positionV relativeFrom="paragraph">
            <wp:posOffset>-154305</wp:posOffset>
          </wp:positionV>
          <wp:extent cx="2038350" cy="561975"/>
          <wp:effectExtent l="0" t="0" r="0" b="9525"/>
          <wp:wrapNone/>
          <wp:docPr id="1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94" cy="5619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</w:t>
    </w:r>
  </w:p>
  <w:p w:rsidR="0035067C" w:rsidRDefault="0035067C">
    <w:pPr>
      <w:pStyle w:val="Cabealho"/>
    </w:pPr>
  </w:p>
  <w:p w:rsidR="0035067C" w:rsidRDefault="0035067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13F32"/>
    <w:multiLevelType w:val="hybridMultilevel"/>
    <w:tmpl w:val="3770309A"/>
    <w:lvl w:ilvl="0" w:tplc="D6B6ADE0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7A61762"/>
    <w:multiLevelType w:val="hybridMultilevel"/>
    <w:tmpl w:val="833041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E66DD"/>
    <w:multiLevelType w:val="multilevel"/>
    <w:tmpl w:val="CA7ED5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pStyle w:val="Nivel2"/>
      <w:lvlText w:val="3.%2."/>
      <w:lvlJc w:val="left"/>
      <w:pPr>
        <w:ind w:left="108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8733384"/>
    <w:multiLevelType w:val="hybridMultilevel"/>
    <w:tmpl w:val="FF920D5E"/>
    <w:lvl w:ilvl="0" w:tplc="15CCB310">
      <w:start w:val="1"/>
      <w:numFmt w:val="decimal"/>
      <w:pStyle w:val="TCCT1"/>
      <w:lvlText w:val="%1."/>
      <w:lvlJc w:val="left"/>
      <w:pPr>
        <w:ind w:left="720" w:hanging="360"/>
      </w:pPr>
    </w:lvl>
    <w:lvl w:ilvl="1" w:tplc="19509428">
      <w:start w:val="1"/>
      <w:numFmt w:val="lowerLetter"/>
      <w:pStyle w:val="Ttulo2"/>
      <w:lvlText w:val="%2."/>
      <w:lvlJc w:val="left"/>
      <w:pPr>
        <w:ind w:left="1440" w:hanging="360"/>
      </w:pPr>
    </w:lvl>
    <w:lvl w:ilvl="2" w:tplc="676E68EE">
      <w:start w:val="1"/>
      <w:numFmt w:val="lowerRoman"/>
      <w:lvlText w:val="%3."/>
      <w:lvlJc w:val="right"/>
      <w:pPr>
        <w:ind w:left="2160" w:hanging="180"/>
      </w:pPr>
    </w:lvl>
    <w:lvl w:ilvl="3" w:tplc="D5DC1B48">
      <w:start w:val="1"/>
      <w:numFmt w:val="decimal"/>
      <w:lvlText w:val="%4."/>
      <w:lvlJc w:val="left"/>
      <w:pPr>
        <w:ind w:left="2880" w:hanging="360"/>
      </w:pPr>
    </w:lvl>
    <w:lvl w:ilvl="4" w:tplc="001CA922">
      <w:start w:val="1"/>
      <w:numFmt w:val="lowerLetter"/>
      <w:lvlText w:val="%5."/>
      <w:lvlJc w:val="left"/>
      <w:pPr>
        <w:ind w:left="3600" w:hanging="360"/>
      </w:pPr>
    </w:lvl>
    <w:lvl w:ilvl="5" w:tplc="26EA35E4">
      <w:start w:val="1"/>
      <w:numFmt w:val="lowerRoman"/>
      <w:lvlText w:val="%6."/>
      <w:lvlJc w:val="right"/>
      <w:pPr>
        <w:ind w:left="4320" w:hanging="180"/>
      </w:pPr>
    </w:lvl>
    <w:lvl w:ilvl="6" w:tplc="FD822C30">
      <w:start w:val="1"/>
      <w:numFmt w:val="decimal"/>
      <w:lvlText w:val="%7."/>
      <w:lvlJc w:val="left"/>
      <w:pPr>
        <w:ind w:left="5040" w:hanging="360"/>
      </w:pPr>
    </w:lvl>
    <w:lvl w:ilvl="7" w:tplc="AD88BC82">
      <w:start w:val="1"/>
      <w:numFmt w:val="lowerLetter"/>
      <w:lvlText w:val="%8."/>
      <w:lvlJc w:val="left"/>
      <w:pPr>
        <w:ind w:left="5760" w:hanging="360"/>
      </w:pPr>
    </w:lvl>
    <w:lvl w:ilvl="8" w:tplc="7084E10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C100D"/>
    <w:multiLevelType w:val="multilevel"/>
    <w:tmpl w:val="BE36A02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2F958E8"/>
    <w:multiLevelType w:val="multilevel"/>
    <w:tmpl w:val="F5C2C3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pStyle w:val="NovoEstilo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C1C90"/>
    <w:multiLevelType w:val="multilevel"/>
    <w:tmpl w:val="31A2887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8863EEE"/>
    <w:multiLevelType w:val="hybridMultilevel"/>
    <w:tmpl w:val="FF4827CC"/>
    <w:lvl w:ilvl="0" w:tplc="0DF852C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21AE804A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1D2A232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 w:tplc="2556BB64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59278A6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15C0CB38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D47890D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0FDA6D5E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34A29930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474C6185"/>
    <w:multiLevelType w:val="hybridMultilevel"/>
    <w:tmpl w:val="DBF85AFA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D6E36"/>
    <w:multiLevelType w:val="hybridMultilevel"/>
    <w:tmpl w:val="81FADA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D36EC0"/>
    <w:multiLevelType w:val="hybridMultilevel"/>
    <w:tmpl w:val="756E589C"/>
    <w:lvl w:ilvl="0" w:tplc="4D62192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43A008B"/>
    <w:multiLevelType w:val="hybridMultilevel"/>
    <w:tmpl w:val="0ECE5916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EAC4464"/>
    <w:multiLevelType w:val="hybridMultilevel"/>
    <w:tmpl w:val="C1E87F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C04235"/>
    <w:multiLevelType w:val="hybridMultilevel"/>
    <w:tmpl w:val="7136B610"/>
    <w:lvl w:ilvl="0" w:tplc="D6B6ADE0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7BFE044D"/>
    <w:multiLevelType w:val="hybridMultilevel"/>
    <w:tmpl w:val="AA54EE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6"/>
  </w:num>
  <w:num w:numId="5">
    <w:abstractNumId w:val="1"/>
  </w:num>
  <w:num w:numId="6">
    <w:abstractNumId w:val="12"/>
  </w:num>
  <w:num w:numId="7">
    <w:abstractNumId w:val="8"/>
  </w:num>
  <w:num w:numId="8">
    <w:abstractNumId w:val="4"/>
  </w:num>
  <w:num w:numId="9">
    <w:abstractNumId w:val="2"/>
  </w:num>
  <w:num w:numId="10">
    <w:abstractNumId w:val="14"/>
  </w:num>
  <w:num w:numId="11">
    <w:abstractNumId w:val="10"/>
  </w:num>
  <w:num w:numId="12">
    <w:abstractNumId w:val="5"/>
  </w:num>
  <w:num w:numId="13">
    <w:abstractNumId w:val="0"/>
  </w:num>
  <w:num w:numId="14">
    <w:abstractNumId w:val="13"/>
  </w:num>
  <w:num w:numId="15">
    <w:abstractNumId w:val="1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2A8"/>
    <w:rsid w:val="00004C94"/>
    <w:rsid w:val="00013D17"/>
    <w:rsid w:val="00016947"/>
    <w:rsid w:val="00033BE8"/>
    <w:rsid w:val="00062767"/>
    <w:rsid w:val="000671E9"/>
    <w:rsid w:val="0008160C"/>
    <w:rsid w:val="000856C2"/>
    <w:rsid w:val="00095B04"/>
    <w:rsid w:val="000A1C7F"/>
    <w:rsid w:val="000B3168"/>
    <w:rsid w:val="000C40E7"/>
    <w:rsid w:val="000D4D7F"/>
    <w:rsid w:val="000D5964"/>
    <w:rsid w:val="000E6380"/>
    <w:rsid w:val="000F390C"/>
    <w:rsid w:val="001031A4"/>
    <w:rsid w:val="00106426"/>
    <w:rsid w:val="00113F08"/>
    <w:rsid w:val="001140B3"/>
    <w:rsid w:val="00120360"/>
    <w:rsid w:val="001217F7"/>
    <w:rsid w:val="001254EF"/>
    <w:rsid w:val="00135655"/>
    <w:rsid w:val="00141F6A"/>
    <w:rsid w:val="00144849"/>
    <w:rsid w:val="00147494"/>
    <w:rsid w:val="00156351"/>
    <w:rsid w:val="0018215E"/>
    <w:rsid w:val="001844D0"/>
    <w:rsid w:val="00185EB9"/>
    <w:rsid w:val="00185F86"/>
    <w:rsid w:val="001877A5"/>
    <w:rsid w:val="001A2CB8"/>
    <w:rsid w:val="001A4670"/>
    <w:rsid w:val="001A54D5"/>
    <w:rsid w:val="001B475E"/>
    <w:rsid w:val="001D6CD9"/>
    <w:rsid w:val="001E322F"/>
    <w:rsid w:val="001F0896"/>
    <w:rsid w:val="001F0A92"/>
    <w:rsid w:val="001F5502"/>
    <w:rsid w:val="00210180"/>
    <w:rsid w:val="00211B2A"/>
    <w:rsid w:val="00212D6A"/>
    <w:rsid w:val="00232ACE"/>
    <w:rsid w:val="00234CE9"/>
    <w:rsid w:val="00246D98"/>
    <w:rsid w:val="00251FC8"/>
    <w:rsid w:val="00253E2A"/>
    <w:rsid w:val="00271736"/>
    <w:rsid w:val="00273541"/>
    <w:rsid w:val="0027525C"/>
    <w:rsid w:val="00277594"/>
    <w:rsid w:val="0028153C"/>
    <w:rsid w:val="002875D7"/>
    <w:rsid w:val="002900FA"/>
    <w:rsid w:val="00291A88"/>
    <w:rsid w:val="002A6DA3"/>
    <w:rsid w:val="002B2E47"/>
    <w:rsid w:val="002B56A4"/>
    <w:rsid w:val="002B7B2F"/>
    <w:rsid w:val="002C40DA"/>
    <w:rsid w:val="002D2543"/>
    <w:rsid w:val="002D6B28"/>
    <w:rsid w:val="002E64D9"/>
    <w:rsid w:val="002E72D2"/>
    <w:rsid w:val="002F4767"/>
    <w:rsid w:val="002F5C23"/>
    <w:rsid w:val="002F6127"/>
    <w:rsid w:val="0033167C"/>
    <w:rsid w:val="0035067C"/>
    <w:rsid w:val="003544FF"/>
    <w:rsid w:val="00357143"/>
    <w:rsid w:val="003728F3"/>
    <w:rsid w:val="003A1A62"/>
    <w:rsid w:val="003B01C9"/>
    <w:rsid w:val="003B7BD5"/>
    <w:rsid w:val="003F3146"/>
    <w:rsid w:val="003F65C9"/>
    <w:rsid w:val="003F696B"/>
    <w:rsid w:val="00402178"/>
    <w:rsid w:val="00402F01"/>
    <w:rsid w:val="004030AC"/>
    <w:rsid w:val="004045E6"/>
    <w:rsid w:val="00415D19"/>
    <w:rsid w:val="00423861"/>
    <w:rsid w:val="004255E4"/>
    <w:rsid w:val="00427E26"/>
    <w:rsid w:val="004300EA"/>
    <w:rsid w:val="00433C14"/>
    <w:rsid w:val="00447B50"/>
    <w:rsid w:val="00447FD4"/>
    <w:rsid w:val="00462C19"/>
    <w:rsid w:val="00465895"/>
    <w:rsid w:val="00467925"/>
    <w:rsid w:val="004A4420"/>
    <w:rsid w:val="004B4777"/>
    <w:rsid w:val="004B6644"/>
    <w:rsid w:val="004C278F"/>
    <w:rsid w:val="004C3D0E"/>
    <w:rsid w:val="004E1C33"/>
    <w:rsid w:val="004F2E67"/>
    <w:rsid w:val="004F2E7F"/>
    <w:rsid w:val="004F63E4"/>
    <w:rsid w:val="00500A67"/>
    <w:rsid w:val="00502619"/>
    <w:rsid w:val="005069F2"/>
    <w:rsid w:val="005117E8"/>
    <w:rsid w:val="005223C2"/>
    <w:rsid w:val="00532280"/>
    <w:rsid w:val="00533DE5"/>
    <w:rsid w:val="00546745"/>
    <w:rsid w:val="00556DBE"/>
    <w:rsid w:val="00562D6F"/>
    <w:rsid w:val="00573516"/>
    <w:rsid w:val="005947D2"/>
    <w:rsid w:val="005A56B0"/>
    <w:rsid w:val="005B15CD"/>
    <w:rsid w:val="005B60C7"/>
    <w:rsid w:val="005C1E9D"/>
    <w:rsid w:val="005C5136"/>
    <w:rsid w:val="005D2E29"/>
    <w:rsid w:val="005E0504"/>
    <w:rsid w:val="005E12DB"/>
    <w:rsid w:val="005F56E4"/>
    <w:rsid w:val="00600299"/>
    <w:rsid w:val="00602C4D"/>
    <w:rsid w:val="00605031"/>
    <w:rsid w:val="00622B37"/>
    <w:rsid w:val="0062789F"/>
    <w:rsid w:val="0065326E"/>
    <w:rsid w:val="006749F2"/>
    <w:rsid w:val="00685916"/>
    <w:rsid w:val="006870B0"/>
    <w:rsid w:val="00694C4E"/>
    <w:rsid w:val="00697D5F"/>
    <w:rsid w:val="006A19D9"/>
    <w:rsid w:val="006A4505"/>
    <w:rsid w:val="006A6CF3"/>
    <w:rsid w:val="006A74CD"/>
    <w:rsid w:val="006B0734"/>
    <w:rsid w:val="006B0B07"/>
    <w:rsid w:val="006B3D21"/>
    <w:rsid w:val="006D78C5"/>
    <w:rsid w:val="006E1478"/>
    <w:rsid w:val="006E42AF"/>
    <w:rsid w:val="006E5C2C"/>
    <w:rsid w:val="006F4CAD"/>
    <w:rsid w:val="007058B1"/>
    <w:rsid w:val="0070709F"/>
    <w:rsid w:val="00713311"/>
    <w:rsid w:val="00715152"/>
    <w:rsid w:val="00715A03"/>
    <w:rsid w:val="00721FBA"/>
    <w:rsid w:val="00727C4D"/>
    <w:rsid w:val="00727DC2"/>
    <w:rsid w:val="00731B4A"/>
    <w:rsid w:val="00732627"/>
    <w:rsid w:val="00744C6E"/>
    <w:rsid w:val="00750807"/>
    <w:rsid w:val="007620A2"/>
    <w:rsid w:val="00762CAC"/>
    <w:rsid w:val="00775DDE"/>
    <w:rsid w:val="007824D3"/>
    <w:rsid w:val="00783535"/>
    <w:rsid w:val="00783AAC"/>
    <w:rsid w:val="0078548C"/>
    <w:rsid w:val="00787DD0"/>
    <w:rsid w:val="0079440B"/>
    <w:rsid w:val="00794E62"/>
    <w:rsid w:val="007B2D8C"/>
    <w:rsid w:val="007B5D56"/>
    <w:rsid w:val="007C5F73"/>
    <w:rsid w:val="007E399E"/>
    <w:rsid w:val="007E4710"/>
    <w:rsid w:val="007E5440"/>
    <w:rsid w:val="007E60EB"/>
    <w:rsid w:val="00800A07"/>
    <w:rsid w:val="00804995"/>
    <w:rsid w:val="00804E44"/>
    <w:rsid w:val="00811B49"/>
    <w:rsid w:val="0082052A"/>
    <w:rsid w:val="008217BD"/>
    <w:rsid w:val="008342C4"/>
    <w:rsid w:val="0083656E"/>
    <w:rsid w:val="00843CAD"/>
    <w:rsid w:val="008502C9"/>
    <w:rsid w:val="00851DA0"/>
    <w:rsid w:val="00852C1B"/>
    <w:rsid w:val="00857B5E"/>
    <w:rsid w:val="00861F31"/>
    <w:rsid w:val="0087107D"/>
    <w:rsid w:val="008757DE"/>
    <w:rsid w:val="0088217F"/>
    <w:rsid w:val="008849C3"/>
    <w:rsid w:val="008A6369"/>
    <w:rsid w:val="008B00B6"/>
    <w:rsid w:val="008B0BE4"/>
    <w:rsid w:val="008B27CE"/>
    <w:rsid w:val="008C0E0E"/>
    <w:rsid w:val="008C1B59"/>
    <w:rsid w:val="008C563B"/>
    <w:rsid w:val="008C7E92"/>
    <w:rsid w:val="008D5C12"/>
    <w:rsid w:val="008D71E3"/>
    <w:rsid w:val="008E4A0E"/>
    <w:rsid w:val="008E656D"/>
    <w:rsid w:val="008F36A0"/>
    <w:rsid w:val="00900765"/>
    <w:rsid w:val="009013DE"/>
    <w:rsid w:val="0091178E"/>
    <w:rsid w:val="00920510"/>
    <w:rsid w:val="009267CB"/>
    <w:rsid w:val="009302A8"/>
    <w:rsid w:val="00930B5F"/>
    <w:rsid w:val="00933B0E"/>
    <w:rsid w:val="009348F7"/>
    <w:rsid w:val="0094002E"/>
    <w:rsid w:val="00942C8D"/>
    <w:rsid w:val="00943027"/>
    <w:rsid w:val="00947523"/>
    <w:rsid w:val="0095266F"/>
    <w:rsid w:val="0095566F"/>
    <w:rsid w:val="0096747C"/>
    <w:rsid w:val="0097127D"/>
    <w:rsid w:val="0097264E"/>
    <w:rsid w:val="009727C7"/>
    <w:rsid w:val="00974701"/>
    <w:rsid w:val="00974B93"/>
    <w:rsid w:val="009A2AE5"/>
    <w:rsid w:val="009A6BFD"/>
    <w:rsid w:val="009A7B9E"/>
    <w:rsid w:val="009B1308"/>
    <w:rsid w:val="009B365C"/>
    <w:rsid w:val="009B7FBF"/>
    <w:rsid w:val="009D15BF"/>
    <w:rsid w:val="009D59BE"/>
    <w:rsid w:val="009E09D7"/>
    <w:rsid w:val="009E5FE7"/>
    <w:rsid w:val="009F37A1"/>
    <w:rsid w:val="009F5067"/>
    <w:rsid w:val="00A01D3B"/>
    <w:rsid w:val="00A131AD"/>
    <w:rsid w:val="00A1712E"/>
    <w:rsid w:val="00A175D0"/>
    <w:rsid w:val="00A24A9C"/>
    <w:rsid w:val="00A2621E"/>
    <w:rsid w:val="00A31CE4"/>
    <w:rsid w:val="00A33BC3"/>
    <w:rsid w:val="00A36A09"/>
    <w:rsid w:val="00A41952"/>
    <w:rsid w:val="00A61561"/>
    <w:rsid w:val="00A64818"/>
    <w:rsid w:val="00A70DA6"/>
    <w:rsid w:val="00A809C5"/>
    <w:rsid w:val="00A823B7"/>
    <w:rsid w:val="00A83A6A"/>
    <w:rsid w:val="00AA7048"/>
    <w:rsid w:val="00AC5CA3"/>
    <w:rsid w:val="00B053A5"/>
    <w:rsid w:val="00B05437"/>
    <w:rsid w:val="00B05577"/>
    <w:rsid w:val="00B10D83"/>
    <w:rsid w:val="00B23BE0"/>
    <w:rsid w:val="00B25BE0"/>
    <w:rsid w:val="00B32622"/>
    <w:rsid w:val="00B32C6F"/>
    <w:rsid w:val="00B44160"/>
    <w:rsid w:val="00B52566"/>
    <w:rsid w:val="00B53462"/>
    <w:rsid w:val="00B54EA1"/>
    <w:rsid w:val="00B553BE"/>
    <w:rsid w:val="00B56691"/>
    <w:rsid w:val="00B569ED"/>
    <w:rsid w:val="00B63171"/>
    <w:rsid w:val="00B642EE"/>
    <w:rsid w:val="00B64E69"/>
    <w:rsid w:val="00B654F8"/>
    <w:rsid w:val="00B733BF"/>
    <w:rsid w:val="00B75A25"/>
    <w:rsid w:val="00B8781F"/>
    <w:rsid w:val="00BB5C08"/>
    <w:rsid w:val="00BC589D"/>
    <w:rsid w:val="00BC79D8"/>
    <w:rsid w:val="00BD280B"/>
    <w:rsid w:val="00BD2A0B"/>
    <w:rsid w:val="00BD38A1"/>
    <w:rsid w:val="00BD6F38"/>
    <w:rsid w:val="00BE4DEC"/>
    <w:rsid w:val="00BE6C28"/>
    <w:rsid w:val="00C0413A"/>
    <w:rsid w:val="00C07A86"/>
    <w:rsid w:val="00C10273"/>
    <w:rsid w:val="00C12EC2"/>
    <w:rsid w:val="00C214D9"/>
    <w:rsid w:val="00C24161"/>
    <w:rsid w:val="00C25871"/>
    <w:rsid w:val="00C3272F"/>
    <w:rsid w:val="00C3510D"/>
    <w:rsid w:val="00C40578"/>
    <w:rsid w:val="00C47B04"/>
    <w:rsid w:val="00C504E9"/>
    <w:rsid w:val="00C513FE"/>
    <w:rsid w:val="00C5153E"/>
    <w:rsid w:val="00C5461F"/>
    <w:rsid w:val="00C60ABE"/>
    <w:rsid w:val="00C662FD"/>
    <w:rsid w:val="00C7295C"/>
    <w:rsid w:val="00C833DA"/>
    <w:rsid w:val="00C84B75"/>
    <w:rsid w:val="00C84FEF"/>
    <w:rsid w:val="00C87226"/>
    <w:rsid w:val="00C92FCA"/>
    <w:rsid w:val="00CA394A"/>
    <w:rsid w:val="00CA6440"/>
    <w:rsid w:val="00CA7ECF"/>
    <w:rsid w:val="00CB35A2"/>
    <w:rsid w:val="00CB610A"/>
    <w:rsid w:val="00CC3905"/>
    <w:rsid w:val="00CC4E07"/>
    <w:rsid w:val="00CC6D9F"/>
    <w:rsid w:val="00CE5605"/>
    <w:rsid w:val="00CF0ABD"/>
    <w:rsid w:val="00CF22DD"/>
    <w:rsid w:val="00D01583"/>
    <w:rsid w:val="00D21B1C"/>
    <w:rsid w:val="00D21E11"/>
    <w:rsid w:val="00D23661"/>
    <w:rsid w:val="00D250D3"/>
    <w:rsid w:val="00D320DD"/>
    <w:rsid w:val="00D5334F"/>
    <w:rsid w:val="00D574F2"/>
    <w:rsid w:val="00D776C6"/>
    <w:rsid w:val="00D83417"/>
    <w:rsid w:val="00D83556"/>
    <w:rsid w:val="00D86CF1"/>
    <w:rsid w:val="00D87E5C"/>
    <w:rsid w:val="00D91004"/>
    <w:rsid w:val="00D93F8B"/>
    <w:rsid w:val="00D94CC3"/>
    <w:rsid w:val="00D94E56"/>
    <w:rsid w:val="00D9710B"/>
    <w:rsid w:val="00DB1F45"/>
    <w:rsid w:val="00DB2E61"/>
    <w:rsid w:val="00DB5BCB"/>
    <w:rsid w:val="00DB5BCC"/>
    <w:rsid w:val="00DB6A25"/>
    <w:rsid w:val="00DE1A14"/>
    <w:rsid w:val="00DF0849"/>
    <w:rsid w:val="00DF5D23"/>
    <w:rsid w:val="00E022CD"/>
    <w:rsid w:val="00E13C0B"/>
    <w:rsid w:val="00E4136B"/>
    <w:rsid w:val="00E45A8E"/>
    <w:rsid w:val="00E57EB0"/>
    <w:rsid w:val="00E65E1B"/>
    <w:rsid w:val="00E7597C"/>
    <w:rsid w:val="00E816F7"/>
    <w:rsid w:val="00E85A1F"/>
    <w:rsid w:val="00E954E2"/>
    <w:rsid w:val="00EC181B"/>
    <w:rsid w:val="00EC3C44"/>
    <w:rsid w:val="00EC3E1F"/>
    <w:rsid w:val="00ED47A5"/>
    <w:rsid w:val="00ED4C69"/>
    <w:rsid w:val="00EE2D06"/>
    <w:rsid w:val="00EF0946"/>
    <w:rsid w:val="00EF1CFA"/>
    <w:rsid w:val="00EF4118"/>
    <w:rsid w:val="00F1325D"/>
    <w:rsid w:val="00F40443"/>
    <w:rsid w:val="00F442F2"/>
    <w:rsid w:val="00F47A35"/>
    <w:rsid w:val="00F5782D"/>
    <w:rsid w:val="00F64FEB"/>
    <w:rsid w:val="00F65865"/>
    <w:rsid w:val="00F70181"/>
    <w:rsid w:val="00F70245"/>
    <w:rsid w:val="00F83812"/>
    <w:rsid w:val="00F83CE5"/>
    <w:rsid w:val="00F84857"/>
    <w:rsid w:val="00F959BB"/>
    <w:rsid w:val="00FB2F34"/>
    <w:rsid w:val="00FB721E"/>
    <w:rsid w:val="00FC0D4A"/>
    <w:rsid w:val="00FC70DE"/>
    <w:rsid w:val="00FD04C8"/>
    <w:rsid w:val="00FD7236"/>
    <w:rsid w:val="00FE011F"/>
    <w:rsid w:val="00FE4D42"/>
    <w:rsid w:val="00FE5EAB"/>
    <w:rsid w:val="00FF3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FC5FBD"/>
  <w15:docId w15:val="{6D2A8D15-F74F-4CA8-AB58-30C57196C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pageBreakBefore/>
      <w:spacing w:after="0" w:line="360" w:lineRule="auto"/>
      <w:jc w:val="center"/>
      <w:outlineLvl w:val="0"/>
    </w:pPr>
    <w:rPr>
      <w:rFonts w:ascii="Arial" w:eastAsiaTheme="majorEastAsia" w:hAnsi="Arial" w:cstheme="majorBidi"/>
      <w:caps/>
      <w:color w:val="000000" w:themeColor="text1"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pPr>
      <w:keepNext/>
      <w:keepLines/>
      <w:numPr>
        <w:ilvl w:val="1"/>
        <w:numId w:val="3"/>
      </w:numPr>
      <w:spacing w:after="0" w:line="360" w:lineRule="auto"/>
      <w:ind w:left="0" w:firstLine="0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pPr>
      <w:keepNext/>
      <w:keepLines/>
      <w:widowControl w:val="0"/>
      <w:numPr>
        <w:ilvl w:val="2"/>
        <w:numId w:val="2"/>
      </w:numPr>
      <w:spacing w:after="0" w:line="360" w:lineRule="auto"/>
      <w:ind w:left="72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eading1Char">
    <w:name w:val="Heading 1 Char"/>
    <w:basedOn w:val="Fontepargpadro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Fontepargpadro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Fontepargpadro"/>
    <w:uiPriority w:val="9"/>
    <w:rPr>
      <w:rFonts w:ascii="Arial" w:eastAsia="Arial" w:hAnsi="Arial" w:cs="Arial"/>
      <w:sz w:val="30"/>
      <w:szCs w:val="30"/>
    </w:rPr>
  </w:style>
  <w:style w:type="character" w:customStyle="1" w:styleId="Ttulo4Char">
    <w:name w:val="Título 4 Char"/>
    <w:basedOn w:val="Fontepargpadro"/>
    <w:link w:val="Ttulo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tulo8Char">
    <w:name w:val="Título 8 Char"/>
    <w:basedOn w:val="Fontepargpadro"/>
    <w:link w:val="Ttulo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tulo9Char">
    <w:name w:val="Título 9 Char"/>
    <w:basedOn w:val="Fontepargpadro"/>
    <w:link w:val="Ttulo9"/>
    <w:uiPriority w:val="9"/>
    <w:rPr>
      <w:rFonts w:ascii="Arial" w:eastAsia="Arial" w:hAnsi="Arial" w:cs="Arial"/>
      <w:i/>
      <w:iCs/>
      <w:sz w:val="21"/>
      <w:szCs w:val="21"/>
    </w:rPr>
  </w:style>
  <w:style w:type="paragraph" w:styleId="SemEspaamento">
    <w:name w:val="No Spacing"/>
    <w:uiPriority w:val="1"/>
    <w:qFormat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tuloChar">
    <w:name w:val="Título Char"/>
    <w:basedOn w:val="Fontepargpadro"/>
    <w:link w:val="Ttulo"/>
    <w:uiPriority w:val="10"/>
    <w:rPr>
      <w:sz w:val="48"/>
      <w:szCs w:val="48"/>
    </w:rPr>
  </w:style>
  <w:style w:type="paragraph" w:styleId="Subttulo">
    <w:name w:val="Subtitle"/>
    <w:basedOn w:val="Normal"/>
    <w:next w:val="Normal"/>
    <w:link w:val="Subttulo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Pr>
      <w:sz w:val="24"/>
      <w:szCs w:val="24"/>
    </w:rPr>
  </w:style>
  <w:style w:type="paragraph" w:styleId="Citao">
    <w:name w:val="Quote"/>
    <w:basedOn w:val="Normal"/>
    <w:next w:val="Normal"/>
    <w:link w:val="CitaoChar"/>
    <w:uiPriority w:val="29"/>
    <w:qFormat/>
    <w:pPr>
      <w:ind w:left="720" w:right="720"/>
    </w:pPr>
    <w:rPr>
      <w:i/>
    </w:rPr>
  </w:style>
  <w:style w:type="character" w:customStyle="1" w:styleId="CitaoChar">
    <w:name w:val="Citação Char"/>
    <w:link w:val="Citao"/>
    <w:uiPriority w:val="29"/>
    <w:rPr>
      <w:i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oIntensaChar">
    <w:name w:val="Citação Intensa Char"/>
    <w:link w:val="CitaoIntensa"/>
    <w:uiPriority w:val="30"/>
    <w:rPr>
      <w:i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</w:style>
  <w:style w:type="paragraph" w:styleId="Rodap">
    <w:name w:val="footer"/>
    <w:basedOn w:val="Normal"/>
    <w:link w:val="Rodap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Fontepargpadro"/>
    <w:uiPriority w:val="99"/>
  </w:style>
  <w:style w:type="character" w:customStyle="1" w:styleId="RodapChar">
    <w:name w:val="Rodapé Char"/>
    <w:link w:val="Rodap"/>
    <w:uiPriority w:val="99"/>
    <w:qFormat/>
  </w:style>
  <w:style w:type="table" w:customStyle="1" w:styleId="TableGridLight">
    <w:name w:val="Table Grid Light"/>
    <w:basedOn w:val="Tabela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TabelaSimples11">
    <w:name w:val="Tabela Simples 11"/>
    <w:basedOn w:val="Tabela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21">
    <w:name w:val="Tabela Simples 21"/>
    <w:basedOn w:val="Tabela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Simples31">
    <w:name w:val="Tabela Simples 31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41">
    <w:name w:val="Tabela Simples 41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51">
    <w:name w:val="Tabela Simples 51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deGrade1Clara1">
    <w:name w:val="Tabela de Grade 1 Clar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TabeladeGrade21">
    <w:name w:val="Tabela de Grade 2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deGrade31">
    <w:name w:val="Tabela de Grade 3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deGrade41">
    <w:name w:val="Tabela de Grade 41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deGrade5Escura1">
    <w:name w:val="Tabela de Grade 5 Escur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TabeladeGrade6Colorida1">
    <w:name w:val="Tabela de Grade 6 Colorid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TabeladeGrade7Colorida1">
    <w:name w:val="Tabela de Grade 7 Colorid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TabeladeLista1Clara1">
    <w:name w:val="Tabela de Lista 1 Clara1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deLista21">
    <w:name w:val="Tabela de Lista 2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deLista31">
    <w:name w:val="Tabela de Lista 3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TabeladeLista41">
    <w:name w:val="Tabela de Lista 4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deLista5Escura1">
    <w:name w:val="Tabela de Lista 5 Escur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TabeladeLista6Colorida1">
    <w:name w:val="Tabela de Lista 6 Colorid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TabeladeLista7Colorida1">
    <w:name w:val="Tabela de Lista 7 Colorid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xtodenotaderodapChar">
    <w:name w:val="Texto de nota de rodapé Char"/>
    <w:link w:val="Textodenotaderodap"/>
    <w:uiPriority w:val="99"/>
    <w:rPr>
      <w:sz w:val="18"/>
    </w:rPr>
  </w:style>
  <w:style w:type="character" w:styleId="Refdenotaderodap">
    <w:name w:val="footnote reference"/>
    <w:basedOn w:val="Fontepargpadro"/>
    <w:uiPriority w:val="99"/>
    <w:unhideWhenUsed/>
    <w:rPr>
      <w:vertAlign w:val="superscript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xtodenotadefimChar">
    <w:name w:val="Texto de nota de fim Char"/>
    <w:link w:val="Textodenotadefim"/>
    <w:uiPriority w:val="99"/>
    <w:rPr>
      <w:sz w:val="20"/>
    </w:rPr>
  </w:style>
  <w:style w:type="character" w:styleId="Refdenotadefim">
    <w:name w:val="endnote reference"/>
    <w:basedOn w:val="Fontepargpadro"/>
    <w:uiPriority w:val="99"/>
    <w:semiHidden/>
    <w:unhideWhenUsed/>
    <w:rPr>
      <w:vertAlign w:val="superscript"/>
    </w:rPr>
  </w:style>
  <w:style w:type="paragraph" w:styleId="Sumrio1">
    <w:name w:val="toc 1"/>
    <w:basedOn w:val="Normal"/>
    <w:next w:val="Normal"/>
    <w:uiPriority w:val="39"/>
    <w:unhideWhenUsed/>
    <w:pPr>
      <w:spacing w:after="57"/>
    </w:pPr>
  </w:style>
  <w:style w:type="paragraph" w:styleId="Sumrio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Sumrio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Sumrio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Sumrio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Sumrio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Sumrio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Sumrio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Sumrio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CabealhodoSumrio">
    <w:name w:val="TOC Heading"/>
    <w:uiPriority w:val="39"/>
    <w:unhideWhenUsed/>
  </w:style>
  <w:style w:type="paragraph" w:styleId="ndicedeilustraes">
    <w:name w:val="table of figures"/>
    <w:basedOn w:val="Normal"/>
    <w:next w:val="Normal"/>
    <w:uiPriority w:val="99"/>
    <w:unhideWhenUsed/>
    <w:pPr>
      <w:spacing w:after="0"/>
    </w:pPr>
  </w:style>
  <w:style w:type="paragraph" w:customStyle="1" w:styleId="TCCTTULO1">
    <w:name w:val="TCC_TÍTULO 1"/>
    <w:basedOn w:val="NormalWeb"/>
    <w:next w:val="NormalWeb"/>
    <w:qFormat/>
    <w:pPr>
      <w:pageBreakBefore/>
      <w:tabs>
        <w:tab w:val="left" w:pos="709"/>
      </w:tabs>
      <w:spacing w:after="709" w:line="360" w:lineRule="auto"/>
      <w:jc w:val="center"/>
    </w:pPr>
    <w:rPr>
      <w:rFonts w:ascii="Arial" w:eastAsia="Arial Unicode MS" w:hAnsi="Arial"/>
      <w:bCs/>
      <w:caps/>
      <w:color w:val="000000" w:themeColor="text1"/>
      <w:szCs w:val="28"/>
    </w:rPr>
  </w:style>
  <w:style w:type="character" w:customStyle="1" w:styleId="Ttulo1Char">
    <w:name w:val="Título 1 Char"/>
    <w:basedOn w:val="Fontepargpadro"/>
    <w:link w:val="Ttulo1"/>
    <w:uiPriority w:val="9"/>
    <w:rPr>
      <w:rFonts w:ascii="Arial" w:eastAsiaTheme="majorEastAsia" w:hAnsi="Arial" w:cstheme="majorBidi"/>
      <w:caps/>
      <w:color w:val="000000" w:themeColor="text1"/>
      <w:sz w:val="24"/>
      <w:szCs w:val="32"/>
    </w:rPr>
  </w:style>
  <w:style w:type="paragraph" w:styleId="Corpodetexto">
    <w:name w:val="Body Text"/>
    <w:basedOn w:val="Normal"/>
    <w:link w:val="CorpodetextoChar"/>
    <w:uiPriority w:val="99"/>
    <w:semiHidden/>
    <w:unhideWhenUsed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</w:style>
  <w:style w:type="paragraph" w:styleId="NormalWeb">
    <w:name w:val="Normal (Web)"/>
    <w:basedOn w:val="Normal"/>
    <w:uiPriority w:val="99"/>
    <w:unhideWhenUsed/>
    <w:rPr>
      <w:rFonts w:ascii="Times New Roman" w:hAnsi="Times New Roman" w:cs="Times New Roman"/>
      <w:sz w:val="24"/>
      <w:szCs w:val="24"/>
    </w:rPr>
  </w:style>
  <w:style w:type="paragraph" w:customStyle="1" w:styleId="TCCT2">
    <w:name w:val="TCC_T2"/>
    <w:basedOn w:val="Normal"/>
    <w:next w:val="Normal"/>
    <w:link w:val="TCCT2Char"/>
    <w:qFormat/>
    <w:pPr>
      <w:keepNext/>
      <w:keepLines/>
      <w:spacing w:before="120" w:after="0" w:line="360" w:lineRule="auto"/>
      <w:outlineLvl w:val="1"/>
    </w:pPr>
    <w:rPr>
      <w:rFonts w:ascii="Arial" w:hAnsi="Arial"/>
      <w:b/>
      <w:color w:val="000000" w:themeColor="text1"/>
      <w:sz w:val="24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rPr>
      <w:rFonts w:ascii="Arial" w:eastAsiaTheme="majorEastAsia" w:hAnsi="Arial" w:cstheme="majorBidi"/>
      <w:b/>
      <w:sz w:val="24"/>
      <w:szCs w:val="26"/>
    </w:rPr>
  </w:style>
  <w:style w:type="paragraph" w:customStyle="1" w:styleId="TCCT1">
    <w:name w:val="TCC_T1"/>
    <w:basedOn w:val="Normal"/>
    <w:next w:val="Normal"/>
    <w:qFormat/>
    <w:pPr>
      <w:pageBreakBefore/>
      <w:numPr>
        <w:numId w:val="3"/>
      </w:numPr>
      <w:tabs>
        <w:tab w:val="left" w:pos="709"/>
      </w:tabs>
      <w:spacing w:after="0" w:line="360" w:lineRule="auto"/>
      <w:jc w:val="center"/>
      <w:outlineLvl w:val="0"/>
    </w:pPr>
    <w:rPr>
      <w:rFonts w:ascii="Arial" w:eastAsia="Arial Unicode MS" w:hAnsi="Arial" w:cs="Times New Roman"/>
      <w:bCs/>
      <w:caps/>
      <w:color w:val="000000" w:themeColor="text1"/>
      <w:sz w:val="24"/>
      <w:szCs w:val="28"/>
    </w:rPr>
  </w:style>
  <w:style w:type="character" w:customStyle="1" w:styleId="Ttulo3Char">
    <w:name w:val="Título 3 Char"/>
    <w:basedOn w:val="Fontepargpadro"/>
    <w:link w:val="Ttulo3"/>
    <w:uiPriority w:val="9"/>
    <w:rPr>
      <w:rFonts w:ascii="Arial" w:eastAsiaTheme="majorEastAsia" w:hAnsi="Arial" w:cstheme="majorBidi"/>
      <w:sz w:val="24"/>
      <w:szCs w:val="24"/>
    </w:rPr>
  </w:style>
  <w:style w:type="paragraph" w:customStyle="1" w:styleId="Estilo2">
    <w:name w:val="Estilo2"/>
    <w:basedOn w:val="TCCT2"/>
    <w:link w:val="Estilo2Char"/>
    <w:qFormat/>
  </w:style>
  <w:style w:type="character" w:customStyle="1" w:styleId="Estilo2Char">
    <w:name w:val="Estilo2 Char"/>
    <w:basedOn w:val="Fontepargpadro"/>
    <w:link w:val="Estilo2"/>
    <w:rPr>
      <w:rFonts w:ascii="Arial" w:hAnsi="Arial"/>
      <w:b/>
      <w:color w:val="000000" w:themeColor="text1"/>
      <w:sz w:val="24"/>
      <w:lang w:eastAsia="ar-SA"/>
    </w:rPr>
  </w:style>
  <w:style w:type="character" w:customStyle="1" w:styleId="TCCT2Char">
    <w:name w:val="TCC_T2 Char"/>
    <w:basedOn w:val="Fontepargpadro"/>
    <w:link w:val="TCCT2"/>
    <w:rPr>
      <w:rFonts w:ascii="Arial" w:hAnsi="Arial"/>
      <w:b/>
      <w:color w:val="000000" w:themeColor="text1"/>
      <w:sz w:val="24"/>
      <w:lang w:eastAsia="ar-SA"/>
    </w:rPr>
  </w:style>
  <w:style w:type="paragraph" w:styleId="Legenda">
    <w:name w:val="caption"/>
    <w:basedOn w:val="Normal"/>
    <w:next w:val="Normal"/>
    <w:uiPriority w:val="35"/>
    <w:unhideWhenUsed/>
    <w:qFormat/>
    <w:pPr>
      <w:widowControl w:val="0"/>
      <w:spacing w:after="0" w:line="240" w:lineRule="auto"/>
    </w:pPr>
    <w:rPr>
      <w:rFonts w:ascii="Arial" w:eastAsia="Arial Unicode MS" w:hAnsi="Arial" w:cs="Times New Roman"/>
      <w:iCs/>
      <w:sz w:val="24"/>
      <w:szCs w:val="18"/>
    </w:rPr>
  </w:style>
  <w:style w:type="table" w:styleId="Tabelacomgrade">
    <w:name w:val="Table Grid"/>
    <w:basedOn w:val="Tabela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grafodaLista">
    <w:name w:val="List Paragraph"/>
    <w:aliases w:val="List I Paragraph,Celula,Parágrafo Padrão Simples,Colorful List - Accent 11,List Paragraph (numbered (a)),Main numbered paragraph,1.1.1_List Paragraph,List_Paragraph,Multilevel para_II,List Paragraph1,List Paragraph 1.1.1,Marca 1"/>
    <w:basedOn w:val="Normal"/>
    <w:link w:val="PargrafodaListaChar"/>
    <w:uiPriority w:val="34"/>
    <w:qFormat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44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4C6E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C24161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pt-PT"/>
    </w:rPr>
  </w:style>
  <w:style w:type="paragraph" w:customStyle="1" w:styleId="Centered">
    <w:name w:val="Centered"/>
    <w:uiPriority w:val="99"/>
    <w:rsid w:val="00004C94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</w:rPr>
  </w:style>
  <w:style w:type="character" w:styleId="Forte">
    <w:name w:val="Strong"/>
    <w:uiPriority w:val="22"/>
    <w:qFormat/>
    <w:rsid w:val="00004C94"/>
    <w:rPr>
      <w:b/>
      <w:bCs/>
    </w:rPr>
  </w:style>
  <w:style w:type="character" w:customStyle="1" w:styleId="fontstyle01">
    <w:name w:val="fontstyle01"/>
    <w:basedOn w:val="Fontepargpadro"/>
    <w:rsid w:val="0035067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Nivel01">
    <w:name w:val="Nivel 01"/>
    <w:basedOn w:val="Ttulo1"/>
    <w:next w:val="Normal"/>
    <w:autoRedefine/>
    <w:qFormat/>
    <w:rsid w:val="00D91004"/>
    <w:pPr>
      <w:pageBreakBefore w:val="0"/>
      <w:numPr>
        <w:numId w:val="8"/>
      </w:numPr>
      <w:tabs>
        <w:tab w:val="num" w:pos="360"/>
        <w:tab w:val="left" w:pos="567"/>
      </w:tabs>
      <w:spacing w:before="240" w:after="120" w:line="276" w:lineRule="auto"/>
      <w:ind w:left="0" w:firstLine="0"/>
      <w:jc w:val="both"/>
    </w:pPr>
    <w:rPr>
      <w:rFonts w:cs="Arial"/>
      <w:b/>
      <w:bCs/>
      <w:caps w:val="0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402178"/>
    <w:pPr>
      <w:numPr>
        <w:ilvl w:val="1"/>
        <w:numId w:val="9"/>
      </w:numPr>
      <w:spacing w:before="120" w:after="120" w:line="276" w:lineRule="auto"/>
      <w:jc w:val="both"/>
    </w:pPr>
    <w:rPr>
      <w:rFonts w:ascii="Bookman Old Style" w:eastAsia="Arial" w:hAnsi="Bookman Old Style" w:cs="Arial"/>
      <w:sz w:val="24"/>
      <w:szCs w:val="24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D91004"/>
    <w:pPr>
      <w:numPr>
        <w:ilvl w:val="2"/>
        <w:numId w:val="8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D91004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D91004"/>
    <w:pPr>
      <w:numPr>
        <w:ilvl w:val="4"/>
      </w:numPr>
      <w:ind w:left="1928" w:hanging="1077"/>
    </w:pPr>
  </w:style>
  <w:style w:type="character" w:customStyle="1" w:styleId="Nivel2Char">
    <w:name w:val="Nivel 2 Char"/>
    <w:basedOn w:val="Fontepargpadro"/>
    <w:link w:val="Nivel2"/>
    <w:locked/>
    <w:rsid w:val="00402178"/>
    <w:rPr>
      <w:rFonts w:ascii="Bookman Old Style" w:eastAsia="Arial" w:hAnsi="Bookman Old Style" w:cs="Arial"/>
      <w:sz w:val="24"/>
      <w:szCs w:val="24"/>
      <w:lang w:eastAsia="pt-BR"/>
    </w:rPr>
  </w:style>
  <w:style w:type="character" w:customStyle="1" w:styleId="Nivel3Char">
    <w:name w:val="Nivel 3 Char"/>
    <w:basedOn w:val="Fontepargpadro"/>
    <w:link w:val="Nivel3"/>
    <w:rsid w:val="00D91004"/>
    <w:rPr>
      <w:rFonts w:ascii="Arial" w:eastAsiaTheme="minorEastAsia" w:hAnsi="Arial" w:cs="Arial"/>
      <w:color w:val="000000"/>
      <w:sz w:val="20"/>
      <w:szCs w:val="20"/>
    </w:rPr>
  </w:style>
  <w:style w:type="character" w:customStyle="1" w:styleId="PargrafodaListaChar">
    <w:name w:val="Parágrafo da Lista Char"/>
    <w:aliases w:val="List I Paragraph Char,Celula Char,Parágrafo Padrão Simples Char,Colorful List - Accent 11 Char,List Paragraph (numbered (a)) Char,Main numbered paragraph Char,1.1.1_List Paragraph Char,List_Paragraph Char,Multilevel para_II Char"/>
    <w:basedOn w:val="Fontepargpadro"/>
    <w:link w:val="PargrafodaLista"/>
    <w:uiPriority w:val="34"/>
    <w:qFormat/>
    <w:rsid w:val="00F5782D"/>
  </w:style>
  <w:style w:type="paragraph" w:customStyle="1" w:styleId="NovoEstilo">
    <w:name w:val="Novo Estilo"/>
    <w:basedOn w:val="PargrafodaLista"/>
    <w:qFormat/>
    <w:rsid w:val="002D2543"/>
    <w:pPr>
      <w:numPr>
        <w:ilvl w:val="1"/>
        <w:numId w:val="12"/>
      </w:numPr>
      <w:pBdr>
        <w:top w:val="nil"/>
        <w:left w:val="nil"/>
        <w:bottom w:val="nil"/>
        <w:right w:val="nil"/>
        <w:between w:val="nil"/>
      </w:pBdr>
      <w:spacing w:before="240" w:after="240" w:line="312" w:lineRule="auto"/>
      <w:jc w:val="both"/>
    </w:pPr>
    <w:rPr>
      <w:rFonts w:ascii="Arial" w:eastAsia="Arial" w:hAnsi="Arial" w:cs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0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1.tce.pr.gov.br/conteudo/resolucao-n%C2%BA-252011/1379/area/24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Escritório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E1058-FDCD-45EE-B3A7-59EEB3F0D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5112</Words>
  <Characters>27605</Characters>
  <Application>Microsoft Office Word</Application>
  <DocSecurity>0</DocSecurity>
  <Lines>230</Lines>
  <Paragraphs>65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Clodoaldo</dc:creator>
  <cp:lastModifiedBy>enge</cp:lastModifiedBy>
  <cp:revision>36</cp:revision>
  <cp:lastPrinted>2025-11-06T16:19:00Z</cp:lastPrinted>
  <dcterms:created xsi:type="dcterms:W3CDTF">2025-10-16T18:38:00Z</dcterms:created>
  <dcterms:modified xsi:type="dcterms:W3CDTF">2025-11-06T16:19:00Z</dcterms:modified>
</cp:coreProperties>
</file>